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D9754E" w:rsidRDefault="00E7261B" w:rsidP="003D6D11">
      <w:pPr>
        <w:spacing w:line="360" w:lineRule="auto"/>
        <w:rPr>
          <w:sz w:val="20"/>
          <w:szCs w:val="20"/>
          <w:lang w:val="en-GB"/>
        </w:rPr>
      </w:pPr>
      <w:r w:rsidRPr="00D9754E">
        <w:rPr>
          <w:noProof/>
          <w:sz w:val="20"/>
          <w:szCs w:val="20"/>
          <w:lang w:val="de-DE" w:eastAsia="de-DE"/>
        </w:rPr>
        <mc:AlternateContent>
          <mc:Choice Requires="wps">
            <w:drawing>
              <wp:anchor distT="0" distB="0" distL="114300" distR="114300" simplePos="0" relativeHeight="251657216" behindDoc="0" locked="0" layoutInCell="1" allowOverlap="1" wp14:anchorId="7500FAF2" wp14:editId="41A81598">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257670">
                              <w:rPr>
                                <w:rFonts w:ascii="Arial" w:hAnsi="Arial" w:cs="Arial"/>
                                <w:b/>
                                <w:bCs/>
                                <w:szCs w:val="32"/>
                                <w:lang w:val="en-GB"/>
                              </w:rPr>
                              <w:t>28</w:t>
                            </w:r>
                            <w:r w:rsidR="002D7DF5" w:rsidRPr="00900B48">
                              <w:rPr>
                                <w:rFonts w:ascii="Arial" w:hAnsi="Arial" w:cs="Arial"/>
                                <w:b/>
                                <w:bCs/>
                                <w:szCs w:val="32"/>
                                <w:lang w:val="en-GB"/>
                              </w:rPr>
                              <w:t xml:space="preserve"> </w:t>
                            </w:r>
                          </w:p>
                          <w:p w:rsidR="00FA36AB" w:rsidRPr="00884A64" w:rsidRDefault="00257670" w:rsidP="00A80F47">
                            <w:pPr>
                              <w:jc w:val="center"/>
                              <w:rPr>
                                <w:bCs/>
                                <w:sz w:val="22"/>
                                <w:lang w:val="en-GB"/>
                              </w:rPr>
                            </w:pPr>
                            <w:r>
                              <w:rPr>
                                <w:bCs/>
                                <w:sz w:val="22"/>
                                <w:lang w:val="en-GB"/>
                              </w:rPr>
                              <w:t>14</w:t>
                            </w:r>
                            <w:r w:rsidR="00576FC0" w:rsidRPr="00884A64">
                              <w:rPr>
                                <w:bCs/>
                                <w:sz w:val="22"/>
                                <w:lang w:val="en-GB"/>
                              </w:rPr>
                              <w:t xml:space="preserve"> </w:t>
                            </w:r>
                            <w:r>
                              <w:rPr>
                                <w:bCs/>
                                <w:sz w:val="22"/>
                                <w:lang w:val="en-GB"/>
                              </w:rPr>
                              <w:t>March</w:t>
                            </w:r>
                            <w:r w:rsidR="00576FC0" w:rsidRPr="00884A64">
                              <w:rPr>
                                <w:bCs/>
                                <w:sz w:val="22"/>
                                <w:lang w:val="en-GB"/>
                              </w:rPr>
                              <w:t xml:space="preserve"> </w:t>
                            </w:r>
                            <w:r>
                              <w:rPr>
                                <w:bCs/>
                                <w:sz w:val="22"/>
                                <w:lang w:val="en-GB"/>
                              </w:rPr>
                              <w:t>2019</w:t>
                            </w:r>
                          </w:p>
                          <w:p w:rsidR="00FA36AB" w:rsidRPr="00884A64" w:rsidRDefault="00257670" w:rsidP="00754D75">
                            <w:pPr>
                              <w:jc w:val="center"/>
                              <w:rPr>
                                <w:bCs/>
                                <w:sz w:val="22"/>
                                <w:lang w:val="en-GB"/>
                              </w:rPr>
                            </w:pPr>
                            <w:r>
                              <w:rPr>
                                <w:bCs/>
                                <w:sz w:val="22"/>
                                <w:lang w:val="en-GB"/>
                              </w:rPr>
                              <w:t>Berlin</w:t>
                            </w:r>
                            <w:r w:rsidR="00576FC0" w:rsidRPr="00884A64">
                              <w:rPr>
                                <w:bCs/>
                                <w:sz w:val="22"/>
                                <w:lang w:val="en-GB"/>
                              </w:rPr>
                              <w:t xml:space="preserve">, </w:t>
                            </w:r>
                            <w:r>
                              <w:rPr>
                                <w:bCs/>
                                <w:sz w:val="22"/>
                                <w:lang w:val="en-GB"/>
                              </w:rPr>
                              <w:t>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257670">
                        <w:rPr>
                          <w:rFonts w:ascii="Arial" w:hAnsi="Arial" w:cs="Arial"/>
                          <w:b/>
                          <w:bCs/>
                          <w:szCs w:val="32"/>
                          <w:lang w:val="en-GB"/>
                        </w:rPr>
                        <w:t>28</w:t>
                      </w:r>
                      <w:r w:rsidR="002D7DF5" w:rsidRPr="00900B48">
                        <w:rPr>
                          <w:rFonts w:ascii="Arial" w:hAnsi="Arial" w:cs="Arial"/>
                          <w:b/>
                          <w:bCs/>
                          <w:szCs w:val="32"/>
                          <w:lang w:val="en-GB"/>
                        </w:rPr>
                        <w:t xml:space="preserve"> </w:t>
                      </w:r>
                    </w:p>
                    <w:p w:rsidR="00FA36AB" w:rsidRPr="00884A64" w:rsidRDefault="00257670" w:rsidP="00A80F47">
                      <w:pPr>
                        <w:jc w:val="center"/>
                        <w:rPr>
                          <w:bCs/>
                          <w:sz w:val="22"/>
                          <w:lang w:val="en-GB"/>
                        </w:rPr>
                      </w:pPr>
                      <w:r>
                        <w:rPr>
                          <w:bCs/>
                          <w:sz w:val="22"/>
                          <w:lang w:val="en-GB"/>
                        </w:rPr>
                        <w:t>14</w:t>
                      </w:r>
                      <w:r w:rsidR="00576FC0" w:rsidRPr="00884A64">
                        <w:rPr>
                          <w:bCs/>
                          <w:sz w:val="22"/>
                          <w:lang w:val="en-GB"/>
                        </w:rPr>
                        <w:t xml:space="preserve"> </w:t>
                      </w:r>
                      <w:r>
                        <w:rPr>
                          <w:bCs/>
                          <w:sz w:val="22"/>
                          <w:lang w:val="en-GB"/>
                        </w:rPr>
                        <w:t>March</w:t>
                      </w:r>
                      <w:r w:rsidR="00576FC0" w:rsidRPr="00884A64">
                        <w:rPr>
                          <w:bCs/>
                          <w:sz w:val="22"/>
                          <w:lang w:val="en-GB"/>
                        </w:rPr>
                        <w:t xml:space="preserve"> </w:t>
                      </w:r>
                      <w:r>
                        <w:rPr>
                          <w:bCs/>
                          <w:sz w:val="22"/>
                          <w:lang w:val="en-GB"/>
                        </w:rPr>
                        <w:t>2019</w:t>
                      </w:r>
                    </w:p>
                    <w:p w:rsidR="00FA36AB" w:rsidRPr="00884A64" w:rsidRDefault="00257670" w:rsidP="00754D75">
                      <w:pPr>
                        <w:jc w:val="center"/>
                        <w:rPr>
                          <w:bCs/>
                          <w:sz w:val="22"/>
                          <w:lang w:val="en-GB"/>
                        </w:rPr>
                      </w:pPr>
                      <w:r>
                        <w:rPr>
                          <w:bCs/>
                          <w:sz w:val="22"/>
                          <w:lang w:val="en-GB"/>
                        </w:rPr>
                        <w:t>Berlin</w:t>
                      </w:r>
                      <w:r w:rsidR="00576FC0" w:rsidRPr="00884A64">
                        <w:rPr>
                          <w:bCs/>
                          <w:sz w:val="22"/>
                          <w:lang w:val="en-GB"/>
                        </w:rPr>
                        <w:t xml:space="preserve">, </w:t>
                      </w:r>
                      <w:r>
                        <w:rPr>
                          <w:bCs/>
                          <w:sz w:val="22"/>
                          <w:lang w:val="en-GB"/>
                        </w:rPr>
                        <w:t>Germany</w:t>
                      </w:r>
                    </w:p>
                  </w:txbxContent>
                </v:textbox>
              </v:shape>
            </w:pict>
          </mc:Fallback>
        </mc:AlternateContent>
      </w:r>
      <w:r w:rsidR="00C62F33" w:rsidRPr="00D9754E">
        <w:rPr>
          <w:noProof/>
          <w:sz w:val="20"/>
          <w:szCs w:val="20"/>
          <w:lang w:val="de-DE" w:eastAsia="de-DE"/>
        </w:rPr>
        <w:drawing>
          <wp:anchor distT="0" distB="0" distL="114300" distR="114300" simplePos="0" relativeHeight="251660288" behindDoc="1" locked="0" layoutInCell="1" allowOverlap="1" wp14:anchorId="68512F79" wp14:editId="0D972B33">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D9754E" w:rsidRDefault="003D6D11" w:rsidP="003D6D11">
      <w:pPr>
        <w:jc w:val="center"/>
        <w:rPr>
          <w:b/>
          <w:bCs/>
          <w:sz w:val="20"/>
          <w:szCs w:val="20"/>
          <w:lang w:val="en-GB"/>
        </w:rPr>
      </w:pPr>
      <w:r w:rsidRPr="00D9754E">
        <w:rPr>
          <w:b/>
          <w:bCs/>
          <w:sz w:val="20"/>
          <w:szCs w:val="20"/>
          <w:lang w:val="en-GB"/>
        </w:rPr>
        <w:t xml:space="preserve"> </w:t>
      </w:r>
    </w:p>
    <w:p w:rsidR="003D6D11" w:rsidRPr="00D9754E" w:rsidRDefault="003D6D11" w:rsidP="003D6D11">
      <w:pPr>
        <w:rPr>
          <w:sz w:val="20"/>
          <w:szCs w:val="20"/>
          <w:lang w:val="en-GB"/>
        </w:rPr>
      </w:pPr>
    </w:p>
    <w:p w:rsidR="003D6D11" w:rsidRPr="00D9754E" w:rsidRDefault="003D6D11" w:rsidP="003D6D11">
      <w:pPr>
        <w:jc w:val="center"/>
        <w:rPr>
          <w:b/>
          <w:bCs/>
          <w:sz w:val="20"/>
          <w:szCs w:val="20"/>
          <w:lang w:val="en-GB"/>
        </w:rPr>
      </w:pPr>
    </w:p>
    <w:p w:rsidR="003D6D11" w:rsidRPr="00D9754E" w:rsidRDefault="003D6D11" w:rsidP="00884A64">
      <w:pPr>
        <w:spacing w:after="120" w:line="276" w:lineRule="auto"/>
        <w:rPr>
          <w:sz w:val="20"/>
          <w:szCs w:val="20"/>
          <w:lang w:val="en-GB"/>
        </w:rPr>
      </w:pPr>
    </w:p>
    <w:p w:rsidR="003D6D11" w:rsidRPr="00D9754E" w:rsidRDefault="003D6D11" w:rsidP="00884A64">
      <w:pPr>
        <w:spacing w:after="120" w:line="276" w:lineRule="auto"/>
        <w:jc w:val="center"/>
        <w:rPr>
          <w:sz w:val="20"/>
          <w:szCs w:val="20"/>
          <w:lang w:val="en-GB"/>
        </w:rPr>
      </w:pPr>
    </w:p>
    <w:p w:rsidR="003D6D11" w:rsidRPr="00D9754E" w:rsidRDefault="003D6D11" w:rsidP="00884A64">
      <w:pPr>
        <w:pBdr>
          <w:bottom w:val="single" w:sz="6" w:space="1" w:color="auto"/>
        </w:pBdr>
        <w:spacing w:after="120" w:line="276" w:lineRule="auto"/>
        <w:rPr>
          <w:sz w:val="20"/>
          <w:szCs w:val="20"/>
          <w:lang w:val="en-GB"/>
        </w:rPr>
      </w:pPr>
    </w:p>
    <w:p w:rsidR="00884A64" w:rsidRPr="00D9754E" w:rsidRDefault="00884A64" w:rsidP="00884A64">
      <w:pPr>
        <w:pBdr>
          <w:bottom w:val="single" w:sz="6" w:space="1" w:color="auto"/>
        </w:pBdr>
        <w:spacing w:after="120" w:line="276" w:lineRule="auto"/>
        <w:rPr>
          <w:sz w:val="20"/>
          <w:szCs w:val="20"/>
          <w:lang w:val="en-GB"/>
        </w:rPr>
      </w:pPr>
    </w:p>
    <w:p w:rsidR="007D5514" w:rsidRPr="00D9754E" w:rsidRDefault="003D6D11" w:rsidP="00AC7A06">
      <w:pPr>
        <w:tabs>
          <w:tab w:val="left" w:pos="2160"/>
        </w:tabs>
        <w:spacing w:after="120" w:line="276" w:lineRule="auto"/>
        <w:rPr>
          <w:b/>
          <w:sz w:val="22"/>
          <w:szCs w:val="22"/>
          <w:lang w:val="en-GB"/>
        </w:rPr>
      </w:pPr>
      <w:r w:rsidRPr="00D9754E">
        <w:rPr>
          <w:b/>
          <w:sz w:val="22"/>
          <w:szCs w:val="22"/>
          <w:lang w:val="en-GB"/>
        </w:rPr>
        <w:t>Agenda Item:</w:t>
      </w:r>
      <w:r w:rsidRPr="00D9754E">
        <w:rPr>
          <w:b/>
          <w:sz w:val="22"/>
          <w:szCs w:val="22"/>
          <w:lang w:val="en-GB"/>
        </w:rPr>
        <w:tab/>
      </w:r>
      <w:r w:rsidR="00D9754E" w:rsidRPr="00D9754E">
        <w:rPr>
          <w:b/>
          <w:sz w:val="22"/>
          <w:szCs w:val="22"/>
          <w:lang w:val="en-GB"/>
        </w:rPr>
        <w:t>5.9</w:t>
      </w:r>
      <w:r w:rsidR="007F36A1" w:rsidRPr="00D9754E">
        <w:rPr>
          <w:b/>
          <w:sz w:val="22"/>
          <w:szCs w:val="22"/>
          <w:lang w:val="en-GB"/>
        </w:rPr>
        <w:t xml:space="preserve"> International Cooperation</w:t>
      </w:r>
    </w:p>
    <w:p w:rsidR="007D5514" w:rsidRPr="00D9754E" w:rsidRDefault="003D6D11" w:rsidP="00AC7A06">
      <w:pPr>
        <w:tabs>
          <w:tab w:val="left" w:pos="2160"/>
        </w:tabs>
        <w:spacing w:after="120" w:line="276" w:lineRule="auto"/>
        <w:rPr>
          <w:sz w:val="22"/>
          <w:szCs w:val="22"/>
          <w:lang w:val="en-GB"/>
        </w:rPr>
      </w:pPr>
      <w:r w:rsidRPr="00D9754E">
        <w:rPr>
          <w:b/>
          <w:sz w:val="22"/>
          <w:szCs w:val="22"/>
          <w:lang w:val="en-GB"/>
        </w:rPr>
        <w:t>Subject:</w:t>
      </w:r>
      <w:r w:rsidRPr="00D9754E">
        <w:rPr>
          <w:b/>
          <w:sz w:val="22"/>
          <w:szCs w:val="22"/>
          <w:lang w:val="en-GB"/>
        </w:rPr>
        <w:tab/>
      </w:r>
      <w:r w:rsidR="007F36A1" w:rsidRPr="00D9754E">
        <w:rPr>
          <w:b/>
          <w:sz w:val="22"/>
          <w:szCs w:val="22"/>
          <w:lang w:val="en-GB"/>
        </w:rPr>
        <w:t>Cooperation with other WH sites</w:t>
      </w:r>
    </w:p>
    <w:p w:rsidR="007D5514" w:rsidRPr="00D9754E" w:rsidRDefault="003D6D11" w:rsidP="00AC7A06">
      <w:pPr>
        <w:tabs>
          <w:tab w:val="left" w:pos="2160"/>
        </w:tabs>
        <w:spacing w:after="120" w:line="276" w:lineRule="auto"/>
        <w:rPr>
          <w:b/>
          <w:sz w:val="22"/>
          <w:szCs w:val="22"/>
          <w:lang w:val="en-GB"/>
        </w:rPr>
      </w:pPr>
      <w:r w:rsidRPr="00D9754E">
        <w:rPr>
          <w:b/>
          <w:sz w:val="22"/>
          <w:szCs w:val="22"/>
          <w:lang w:val="en-GB"/>
        </w:rPr>
        <w:t>Document No.</w:t>
      </w:r>
      <w:r w:rsidR="00884A64" w:rsidRPr="00D9754E">
        <w:rPr>
          <w:b/>
          <w:sz w:val="22"/>
          <w:szCs w:val="22"/>
          <w:lang w:val="en-GB"/>
        </w:rPr>
        <w:t>:</w:t>
      </w:r>
      <w:r w:rsidRPr="00D9754E">
        <w:rPr>
          <w:b/>
          <w:sz w:val="22"/>
          <w:szCs w:val="22"/>
          <w:lang w:val="en-GB"/>
        </w:rPr>
        <w:tab/>
      </w:r>
      <w:r w:rsidR="0035006B" w:rsidRPr="00D9754E">
        <w:rPr>
          <w:sz w:val="22"/>
          <w:szCs w:val="22"/>
          <w:lang w:val="en-GB"/>
        </w:rPr>
        <w:t>WSB 2</w:t>
      </w:r>
      <w:r w:rsidR="00257670">
        <w:rPr>
          <w:sz w:val="22"/>
          <w:szCs w:val="22"/>
          <w:lang w:val="en-GB"/>
        </w:rPr>
        <w:t>8</w:t>
      </w:r>
      <w:r w:rsidR="00E05DFD" w:rsidRPr="00D9754E">
        <w:rPr>
          <w:sz w:val="22"/>
          <w:szCs w:val="22"/>
          <w:lang w:val="en-GB"/>
        </w:rPr>
        <w:t>/</w:t>
      </w:r>
      <w:r w:rsidR="00D9754E" w:rsidRPr="00D9754E">
        <w:rPr>
          <w:sz w:val="22"/>
          <w:szCs w:val="22"/>
          <w:lang w:val="en-GB"/>
        </w:rPr>
        <w:t>5.9</w:t>
      </w:r>
      <w:r w:rsidR="00257670">
        <w:rPr>
          <w:sz w:val="22"/>
          <w:szCs w:val="22"/>
          <w:lang w:val="en-GB"/>
        </w:rPr>
        <w:t>/1</w:t>
      </w:r>
    </w:p>
    <w:p w:rsidR="003D6D11" w:rsidRPr="00D9754E" w:rsidRDefault="003D6D11" w:rsidP="00AC7A06">
      <w:pPr>
        <w:tabs>
          <w:tab w:val="left" w:pos="2160"/>
        </w:tabs>
        <w:spacing w:after="120" w:line="276" w:lineRule="auto"/>
        <w:rPr>
          <w:b/>
          <w:sz w:val="22"/>
          <w:szCs w:val="22"/>
          <w:lang w:val="en-GB"/>
        </w:rPr>
      </w:pPr>
      <w:r w:rsidRPr="00D9754E">
        <w:rPr>
          <w:b/>
          <w:sz w:val="22"/>
          <w:szCs w:val="22"/>
          <w:lang w:val="en-GB"/>
        </w:rPr>
        <w:t>Date:</w:t>
      </w:r>
      <w:r w:rsidRPr="00D9754E">
        <w:rPr>
          <w:b/>
          <w:sz w:val="22"/>
          <w:szCs w:val="22"/>
          <w:lang w:val="en-GB"/>
        </w:rPr>
        <w:tab/>
      </w:r>
      <w:r w:rsidR="009B57B9">
        <w:rPr>
          <w:sz w:val="22"/>
          <w:szCs w:val="22"/>
          <w:lang w:val="en-GB"/>
        </w:rPr>
        <w:t>15</w:t>
      </w:r>
      <w:r w:rsidR="00E05DFD" w:rsidRPr="00D9754E">
        <w:rPr>
          <w:sz w:val="22"/>
          <w:szCs w:val="22"/>
          <w:lang w:val="en-GB"/>
        </w:rPr>
        <w:t xml:space="preserve"> </w:t>
      </w:r>
      <w:r w:rsidR="00257670">
        <w:rPr>
          <w:sz w:val="22"/>
          <w:szCs w:val="22"/>
          <w:lang w:val="en-GB"/>
        </w:rPr>
        <w:t>February</w:t>
      </w:r>
      <w:r w:rsidR="00E05DFD" w:rsidRPr="00D9754E">
        <w:rPr>
          <w:sz w:val="22"/>
          <w:szCs w:val="22"/>
          <w:lang w:val="en-GB"/>
        </w:rPr>
        <w:t xml:space="preserve"> </w:t>
      </w:r>
      <w:r w:rsidR="00D9754E" w:rsidRPr="00D9754E">
        <w:rPr>
          <w:sz w:val="22"/>
          <w:szCs w:val="22"/>
          <w:lang w:val="en-GB"/>
        </w:rPr>
        <w:t>201</w:t>
      </w:r>
      <w:r w:rsidR="00257670">
        <w:rPr>
          <w:sz w:val="22"/>
          <w:szCs w:val="22"/>
          <w:lang w:val="en-GB"/>
        </w:rPr>
        <w:t>9</w:t>
      </w:r>
    </w:p>
    <w:p w:rsidR="00884A64" w:rsidRPr="00D9754E" w:rsidRDefault="003D6D11" w:rsidP="00AC7A06">
      <w:pPr>
        <w:pBdr>
          <w:bottom w:val="single" w:sz="6" w:space="1" w:color="auto"/>
        </w:pBdr>
        <w:tabs>
          <w:tab w:val="left" w:pos="0"/>
          <w:tab w:val="left" w:pos="2160"/>
        </w:tabs>
        <w:spacing w:after="120" w:line="276" w:lineRule="auto"/>
        <w:rPr>
          <w:b/>
          <w:sz w:val="22"/>
          <w:szCs w:val="22"/>
          <w:lang w:val="en-GB"/>
        </w:rPr>
      </w:pPr>
      <w:r w:rsidRPr="00D9754E">
        <w:rPr>
          <w:b/>
          <w:sz w:val="22"/>
          <w:szCs w:val="22"/>
          <w:lang w:val="en-GB"/>
        </w:rPr>
        <w:t>Submitted by:</w:t>
      </w:r>
      <w:r w:rsidR="00AC7A06">
        <w:rPr>
          <w:b/>
          <w:sz w:val="22"/>
          <w:szCs w:val="22"/>
          <w:lang w:val="en-GB"/>
        </w:rPr>
        <w:tab/>
      </w:r>
      <w:r w:rsidR="00257670">
        <w:rPr>
          <w:b/>
          <w:sz w:val="22"/>
          <w:szCs w:val="22"/>
          <w:lang w:val="en-GB"/>
        </w:rPr>
        <w:t>CWSS</w:t>
      </w:r>
    </w:p>
    <w:p w:rsidR="00884A64" w:rsidRDefault="00884A64" w:rsidP="00884A64">
      <w:pPr>
        <w:pStyle w:val="Kopfzeile"/>
        <w:tabs>
          <w:tab w:val="clear" w:pos="4703"/>
          <w:tab w:val="clear" w:pos="9406"/>
        </w:tabs>
        <w:spacing w:after="120" w:line="276" w:lineRule="auto"/>
        <w:rPr>
          <w:sz w:val="22"/>
          <w:szCs w:val="22"/>
          <w:lang w:val="en-GB" w:eastAsia="de-DE"/>
        </w:rPr>
      </w:pPr>
    </w:p>
    <w:p w:rsidR="00257670" w:rsidRPr="00D9754E" w:rsidRDefault="00257670" w:rsidP="00884A64">
      <w:pPr>
        <w:pStyle w:val="Kopfzeile"/>
        <w:tabs>
          <w:tab w:val="clear" w:pos="4703"/>
          <w:tab w:val="clear" w:pos="9406"/>
        </w:tabs>
        <w:spacing w:after="120" w:line="276" w:lineRule="auto"/>
        <w:rPr>
          <w:sz w:val="22"/>
          <w:szCs w:val="22"/>
          <w:lang w:val="en-GB" w:eastAsia="de-DE"/>
        </w:rPr>
      </w:pPr>
    </w:p>
    <w:p w:rsidR="00257670" w:rsidRDefault="00257670" w:rsidP="00884A64">
      <w:pPr>
        <w:pStyle w:val="Kopfzeile"/>
        <w:tabs>
          <w:tab w:val="clear" w:pos="4703"/>
          <w:tab w:val="clear" w:pos="9406"/>
        </w:tabs>
        <w:spacing w:after="120" w:line="276" w:lineRule="auto"/>
        <w:rPr>
          <w:sz w:val="22"/>
          <w:szCs w:val="22"/>
          <w:lang w:val="en-GB" w:eastAsia="de-DE"/>
        </w:rPr>
      </w:pPr>
    </w:p>
    <w:p w:rsidR="00257670" w:rsidRPr="00257670" w:rsidRDefault="00257670" w:rsidP="00257670">
      <w:pPr>
        <w:pStyle w:val="Kopfzeile"/>
        <w:tabs>
          <w:tab w:val="clear" w:pos="4703"/>
          <w:tab w:val="clear" w:pos="9406"/>
        </w:tabs>
        <w:spacing w:after="120" w:line="276" w:lineRule="auto"/>
        <w:rPr>
          <w:sz w:val="22"/>
          <w:szCs w:val="22"/>
          <w:lang w:val="en-GB" w:eastAsia="de-DE"/>
        </w:rPr>
      </w:pPr>
      <w:r>
        <w:rPr>
          <w:sz w:val="22"/>
          <w:szCs w:val="22"/>
          <w:lang w:val="en-GB" w:eastAsia="de-DE"/>
        </w:rPr>
        <w:t>WSB g</w:t>
      </w:r>
      <w:r w:rsidRPr="00257670">
        <w:rPr>
          <w:sz w:val="22"/>
          <w:szCs w:val="22"/>
          <w:lang w:val="en-GB" w:eastAsia="de-DE"/>
        </w:rPr>
        <w:t xml:space="preserve">enerally welcomed the document </w:t>
      </w:r>
      <w:r>
        <w:rPr>
          <w:sz w:val="22"/>
          <w:szCs w:val="22"/>
          <w:lang w:val="en-GB" w:eastAsia="de-DE"/>
        </w:rPr>
        <w:t xml:space="preserve">on cooperation with other WH sites (document </w:t>
      </w:r>
      <w:r w:rsidRPr="00884A64">
        <w:rPr>
          <w:sz w:val="20"/>
          <w:szCs w:val="20"/>
        </w:rPr>
        <w:t>WSB 2</w:t>
      </w:r>
      <w:r>
        <w:rPr>
          <w:sz w:val="20"/>
          <w:szCs w:val="20"/>
        </w:rPr>
        <w:t>7</w:t>
      </w:r>
      <w:r w:rsidRPr="00884A64">
        <w:rPr>
          <w:sz w:val="20"/>
          <w:szCs w:val="20"/>
        </w:rPr>
        <w:t>/</w:t>
      </w:r>
      <w:r>
        <w:rPr>
          <w:sz w:val="20"/>
          <w:szCs w:val="20"/>
        </w:rPr>
        <w:t>5.9</w:t>
      </w:r>
      <w:r w:rsidRPr="00884A64">
        <w:rPr>
          <w:sz w:val="20"/>
          <w:szCs w:val="20"/>
        </w:rPr>
        <w:t>/</w:t>
      </w:r>
      <w:r>
        <w:rPr>
          <w:sz w:val="20"/>
          <w:szCs w:val="20"/>
        </w:rPr>
        <w:t>2a</w:t>
      </w:r>
      <w:r>
        <w:rPr>
          <w:sz w:val="22"/>
          <w:szCs w:val="22"/>
          <w:lang w:val="en-GB" w:eastAsia="de-DE"/>
        </w:rPr>
        <w:t xml:space="preserve">) </w:t>
      </w:r>
      <w:r w:rsidRPr="00257670">
        <w:rPr>
          <w:sz w:val="22"/>
          <w:szCs w:val="22"/>
          <w:lang w:val="en-GB" w:eastAsia="de-DE"/>
        </w:rPr>
        <w:t>but there was concern on the financial and work time implications, which</w:t>
      </w:r>
      <w:r>
        <w:rPr>
          <w:sz w:val="22"/>
          <w:szCs w:val="22"/>
          <w:lang w:val="en-GB" w:eastAsia="de-DE"/>
        </w:rPr>
        <w:t xml:space="preserve"> should be further clarified. It</w:t>
      </w:r>
      <w:r w:rsidRPr="00257670">
        <w:rPr>
          <w:sz w:val="22"/>
          <w:szCs w:val="22"/>
          <w:lang w:val="en-GB" w:eastAsia="de-DE"/>
        </w:rPr>
        <w:t xml:space="preserve"> was </w:t>
      </w:r>
      <w:r>
        <w:rPr>
          <w:sz w:val="22"/>
          <w:szCs w:val="22"/>
          <w:lang w:val="en-GB" w:eastAsia="de-DE"/>
        </w:rPr>
        <w:t xml:space="preserve">also </w:t>
      </w:r>
      <w:r w:rsidRPr="00257670">
        <w:rPr>
          <w:sz w:val="22"/>
          <w:szCs w:val="22"/>
          <w:lang w:val="en-GB" w:eastAsia="de-DE"/>
        </w:rPr>
        <w:t>requested to delete proposal number two (Beech Forests).</w:t>
      </w:r>
    </w:p>
    <w:p w:rsidR="00257670" w:rsidRPr="00257670" w:rsidRDefault="00257670" w:rsidP="00257670">
      <w:pPr>
        <w:pStyle w:val="Kopfzeile"/>
        <w:tabs>
          <w:tab w:val="clear" w:pos="4703"/>
          <w:tab w:val="clear" w:pos="9406"/>
        </w:tabs>
        <w:spacing w:after="120" w:line="276" w:lineRule="auto"/>
        <w:rPr>
          <w:sz w:val="22"/>
          <w:szCs w:val="22"/>
          <w:lang w:val="en-GB" w:eastAsia="de-DE"/>
        </w:rPr>
      </w:pPr>
      <w:r w:rsidRPr="00257670">
        <w:rPr>
          <w:sz w:val="22"/>
          <w:szCs w:val="22"/>
          <w:lang w:val="en-GB" w:eastAsia="de-DE"/>
        </w:rPr>
        <w:t>The WSB requested adjustment of the document for submission to next WSB.”</w:t>
      </w:r>
    </w:p>
    <w:p w:rsidR="00257670" w:rsidRDefault="00257670" w:rsidP="00884A64">
      <w:pPr>
        <w:pStyle w:val="Kopfzeile"/>
        <w:tabs>
          <w:tab w:val="clear" w:pos="4703"/>
          <w:tab w:val="clear" w:pos="9406"/>
        </w:tabs>
        <w:spacing w:after="120" w:line="276" w:lineRule="auto"/>
        <w:rPr>
          <w:sz w:val="22"/>
          <w:szCs w:val="22"/>
          <w:lang w:val="en-GB" w:eastAsia="de-DE"/>
        </w:rPr>
      </w:pPr>
    </w:p>
    <w:p w:rsidR="00257670" w:rsidRDefault="00257670" w:rsidP="00257670">
      <w:pPr>
        <w:pStyle w:val="Kopfzeile"/>
        <w:tabs>
          <w:tab w:val="clear" w:pos="4703"/>
          <w:tab w:val="clear" w:pos="9406"/>
        </w:tabs>
        <w:spacing w:after="120" w:line="276" w:lineRule="auto"/>
        <w:rPr>
          <w:sz w:val="22"/>
          <w:szCs w:val="22"/>
          <w:lang w:val="en-GB" w:eastAsia="de-DE"/>
        </w:rPr>
      </w:pPr>
      <w:r>
        <w:rPr>
          <w:sz w:val="22"/>
          <w:szCs w:val="22"/>
          <w:lang w:val="en-GB" w:eastAsia="de-DE"/>
        </w:rPr>
        <w:t xml:space="preserve">Attached is a revised version of the note </w:t>
      </w:r>
      <w:r w:rsidR="00CB7782">
        <w:rPr>
          <w:sz w:val="22"/>
          <w:szCs w:val="22"/>
          <w:lang w:val="en-GB" w:eastAsia="de-DE"/>
        </w:rPr>
        <w:t>which was</w:t>
      </w:r>
      <w:r>
        <w:rPr>
          <w:sz w:val="22"/>
          <w:szCs w:val="22"/>
          <w:lang w:val="en-GB" w:eastAsia="de-DE"/>
        </w:rPr>
        <w:t xml:space="preserve"> submitted </w:t>
      </w:r>
      <w:r w:rsidR="00CB7782">
        <w:rPr>
          <w:sz w:val="22"/>
          <w:szCs w:val="22"/>
          <w:lang w:val="en-GB" w:eastAsia="de-DE"/>
        </w:rPr>
        <w:t xml:space="preserve">by TG-WH </w:t>
      </w:r>
      <w:r>
        <w:rPr>
          <w:sz w:val="22"/>
          <w:szCs w:val="22"/>
          <w:lang w:val="en-GB" w:eastAsia="de-DE"/>
        </w:rPr>
        <w:t xml:space="preserve">to WSB 27. </w:t>
      </w:r>
    </w:p>
    <w:p w:rsidR="00257670" w:rsidRDefault="00257670" w:rsidP="00884A64">
      <w:pPr>
        <w:pStyle w:val="Kopfzeile"/>
        <w:tabs>
          <w:tab w:val="clear" w:pos="4703"/>
          <w:tab w:val="clear" w:pos="9406"/>
        </w:tabs>
        <w:spacing w:after="120" w:line="276" w:lineRule="auto"/>
        <w:rPr>
          <w:sz w:val="22"/>
          <w:szCs w:val="22"/>
          <w:lang w:val="en-GB" w:eastAsia="de-DE"/>
        </w:rPr>
      </w:pPr>
    </w:p>
    <w:p w:rsidR="00AC7A06" w:rsidRDefault="00AC7A06" w:rsidP="00884A64">
      <w:pPr>
        <w:pStyle w:val="Kopfzeile"/>
        <w:tabs>
          <w:tab w:val="clear" w:pos="4703"/>
          <w:tab w:val="clear" w:pos="9406"/>
        </w:tabs>
        <w:spacing w:after="120" w:line="276" w:lineRule="auto"/>
        <w:rPr>
          <w:sz w:val="22"/>
          <w:szCs w:val="22"/>
          <w:lang w:val="en-GB" w:eastAsia="de-DE"/>
        </w:rPr>
      </w:pPr>
    </w:p>
    <w:p w:rsidR="00AC7A06" w:rsidRDefault="00AC7A06" w:rsidP="00884A64">
      <w:pPr>
        <w:pStyle w:val="Kopfzeile"/>
        <w:tabs>
          <w:tab w:val="clear" w:pos="4703"/>
          <w:tab w:val="clear" w:pos="9406"/>
        </w:tabs>
        <w:spacing w:after="120" w:line="276" w:lineRule="auto"/>
        <w:rPr>
          <w:sz w:val="22"/>
          <w:szCs w:val="22"/>
          <w:lang w:val="en-GB" w:eastAsia="de-DE"/>
        </w:rPr>
      </w:pPr>
    </w:p>
    <w:p w:rsidR="00AC7A06" w:rsidRPr="00D9754E" w:rsidRDefault="00AC7A06" w:rsidP="00884A64">
      <w:pPr>
        <w:pStyle w:val="Kopfzeile"/>
        <w:tabs>
          <w:tab w:val="clear" w:pos="4703"/>
          <w:tab w:val="clear" w:pos="9406"/>
        </w:tabs>
        <w:spacing w:after="120" w:line="276" w:lineRule="auto"/>
        <w:rPr>
          <w:sz w:val="22"/>
          <w:szCs w:val="22"/>
          <w:lang w:val="en-GB" w:eastAsia="de-DE"/>
        </w:rPr>
      </w:pPr>
    </w:p>
    <w:p w:rsidR="003D6D11" w:rsidRPr="00D9754E" w:rsidRDefault="003D6D11" w:rsidP="00884A64">
      <w:pPr>
        <w:spacing w:after="120" w:line="276" w:lineRule="auto"/>
        <w:rPr>
          <w:sz w:val="22"/>
          <w:szCs w:val="22"/>
          <w:lang w:val="en-GB"/>
        </w:rPr>
      </w:pPr>
      <w:r w:rsidRPr="00D9754E">
        <w:rPr>
          <w:b/>
          <w:bCs/>
          <w:sz w:val="22"/>
          <w:szCs w:val="22"/>
          <w:lang w:val="en-GB"/>
        </w:rPr>
        <w:t>Proposal</w:t>
      </w:r>
      <w:r w:rsidR="00E20D83" w:rsidRPr="00D9754E">
        <w:rPr>
          <w:b/>
          <w:bCs/>
          <w:sz w:val="22"/>
          <w:szCs w:val="22"/>
          <w:lang w:val="en-GB"/>
        </w:rPr>
        <w:t>:</w:t>
      </w:r>
      <w:r w:rsidR="00E20D83" w:rsidRPr="00D9754E">
        <w:rPr>
          <w:b/>
          <w:bCs/>
          <w:sz w:val="22"/>
          <w:szCs w:val="22"/>
          <w:lang w:val="en-GB"/>
        </w:rPr>
        <w:tab/>
      </w:r>
      <w:r w:rsidR="00004EE5" w:rsidRPr="00D9754E">
        <w:rPr>
          <w:sz w:val="22"/>
          <w:szCs w:val="22"/>
          <w:lang w:val="en-GB"/>
        </w:rPr>
        <w:t xml:space="preserve">The meeting is </w:t>
      </w:r>
      <w:r w:rsidR="009F48C9">
        <w:rPr>
          <w:sz w:val="22"/>
          <w:szCs w:val="22"/>
          <w:lang w:val="en-GB"/>
        </w:rPr>
        <w:t>referred to the proposal at the end of the note</w:t>
      </w:r>
    </w:p>
    <w:p w:rsidR="00615200" w:rsidRPr="00D9754E" w:rsidRDefault="001C042F" w:rsidP="00884A64">
      <w:pPr>
        <w:spacing w:after="120" w:line="276" w:lineRule="auto"/>
        <w:rPr>
          <w:sz w:val="22"/>
          <w:szCs w:val="22"/>
          <w:lang w:val="en-GB"/>
        </w:rPr>
      </w:pPr>
      <w:r w:rsidRPr="00D9754E">
        <w:rPr>
          <w:rFonts w:ascii="Arial" w:hAnsi="Arial" w:cs="Arial"/>
          <w:lang w:val="en-GB"/>
        </w:rPr>
        <w:br w:type="page"/>
      </w:r>
    </w:p>
    <w:p w:rsidR="00D9754E" w:rsidRPr="00D9754E" w:rsidRDefault="00D9754E" w:rsidP="00D9754E">
      <w:pPr>
        <w:spacing w:after="120" w:line="276" w:lineRule="auto"/>
        <w:rPr>
          <w:rFonts w:ascii="Arial" w:hAnsi="Arial" w:cs="Arial"/>
          <w:sz w:val="28"/>
          <w:szCs w:val="28"/>
          <w:lang w:val="en-GB"/>
        </w:rPr>
      </w:pPr>
      <w:r w:rsidRPr="00D9754E">
        <w:rPr>
          <w:rFonts w:ascii="Arial" w:hAnsi="Arial" w:cs="Arial"/>
          <w:sz w:val="28"/>
          <w:szCs w:val="28"/>
          <w:lang w:val="en-GB"/>
        </w:rPr>
        <w:lastRenderedPageBreak/>
        <w:t>Future potential and added value of cooperation with other WH sites</w:t>
      </w:r>
    </w:p>
    <w:p w:rsidR="00D9754E" w:rsidRPr="00D9754E" w:rsidRDefault="00D9754E" w:rsidP="00D9754E">
      <w:pPr>
        <w:pStyle w:val="Listenabsatz"/>
        <w:numPr>
          <w:ilvl w:val="0"/>
          <w:numId w:val="25"/>
        </w:numPr>
        <w:spacing w:after="120"/>
        <w:rPr>
          <w:rFonts w:ascii="Times New Roman" w:hAnsi="Times New Roman" w:cs="Times New Roman"/>
          <w:b/>
          <w:lang w:val="en-GB"/>
        </w:rPr>
      </w:pPr>
      <w:r w:rsidRPr="00D9754E">
        <w:rPr>
          <w:rFonts w:ascii="Arial" w:hAnsi="Arial" w:cs="Arial"/>
          <w:b/>
          <w:szCs w:val="28"/>
          <w:lang w:val="en-GB"/>
        </w:rPr>
        <w:t>Background</w:t>
      </w:r>
    </w:p>
    <w:p w:rsidR="00D9754E" w:rsidRPr="00D9754E" w:rsidRDefault="00D9754E" w:rsidP="00D9754E">
      <w:pPr>
        <w:pStyle w:val="Kopfzeile"/>
        <w:tabs>
          <w:tab w:val="left" w:pos="708"/>
        </w:tabs>
        <w:spacing w:after="120" w:line="276" w:lineRule="auto"/>
        <w:rPr>
          <w:sz w:val="22"/>
          <w:szCs w:val="22"/>
          <w:lang w:val="en-GB"/>
        </w:rPr>
      </w:pPr>
      <w:r w:rsidRPr="00D9754E">
        <w:rPr>
          <w:sz w:val="22"/>
          <w:szCs w:val="22"/>
          <w:lang w:val="en-GB"/>
        </w:rPr>
        <w:t xml:space="preserve">At the request </w:t>
      </w:r>
      <w:r w:rsidR="00931993">
        <w:rPr>
          <w:sz w:val="22"/>
          <w:szCs w:val="22"/>
          <w:lang w:val="en-GB"/>
        </w:rPr>
        <w:t>of</w:t>
      </w:r>
      <w:r w:rsidR="00931993" w:rsidRPr="00D9754E">
        <w:rPr>
          <w:sz w:val="22"/>
          <w:szCs w:val="22"/>
          <w:lang w:val="en-GB"/>
        </w:rPr>
        <w:t xml:space="preserve"> </w:t>
      </w:r>
      <w:r w:rsidRPr="00D9754E">
        <w:rPr>
          <w:sz w:val="22"/>
          <w:szCs w:val="22"/>
          <w:lang w:val="en-GB"/>
        </w:rPr>
        <w:t xml:space="preserve">WSB 22, TG-WH discussed the future potential and added value of cooperation with other WH sites, specifically the proposed Memorandum of Understanding (MoU) with the Dolomites World Heritage site (proposed by the Secretariat to </w:t>
      </w:r>
      <w:hyperlink r:id="rId10" w:history="1">
        <w:r w:rsidRPr="00D9754E">
          <w:rPr>
            <w:rStyle w:val="Hyperlink"/>
            <w:sz w:val="22"/>
            <w:szCs w:val="22"/>
            <w:lang w:val="en-GB"/>
          </w:rPr>
          <w:t>WSB 21</w:t>
        </w:r>
      </w:hyperlink>
      <w:r w:rsidRPr="00D9754E">
        <w:rPr>
          <w:sz w:val="22"/>
          <w:szCs w:val="22"/>
          <w:lang w:val="en-GB"/>
        </w:rPr>
        <w:t xml:space="preserve"> and </w:t>
      </w:r>
      <w:hyperlink r:id="rId11" w:history="1">
        <w:r w:rsidRPr="00D9754E">
          <w:rPr>
            <w:rStyle w:val="Hyperlink"/>
            <w:sz w:val="22"/>
            <w:szCs w:val="22"/>
            <w:lang w:val="en-GB"/>
          </w:rPr>
          <w:t>WSB 22)</w:t>
        </w:r>
      </w:hyperlink>
    </w:p>
    <w:p w:rsidR="00D9754E" w:rsidRPr="00D9754E" w:rsidRDefault="00D9754E" w:rsidP="00D9754E">
      <w:pPr>
        <w:pStyle w:val="Kopfzeile"/>
        <w:tabs>
          <w:tab w:val="left" w:pos="708"/>
        </w:tabs>
        <w:spacing w:after="120" w:line="276" w:lineRule="auto"/>
        <w:rPr>
          <w:sz w:val="22"/>
          <w:szCs w:val="22"/>
          <w:lang w:val="en-GB"/>
        </w:rPr>
      </w:pPr>
      <w:r w:rsidRPr="00D9754E">
        <w:rPr>
          <w:sz w:val="22"/>
          <w:szCs w:val="22"/>
          <w:lang w:val="en-GB"/>
        </w:rPr>
        <w:t>TG-WH 24 acknowledged cooperation with other World Heritage sites as a chance for mutual learning, to also raise the profile of the Wadden Sea internationally and within the WH Convention, and to jointly support the protection of the OUV. With regard to the protection of intertidal ecosystems, successful cooperation has been established with West-African countries (WSFI)</w:t>
      </w:r>
      <w:r w:rsidR="00931993">
        <w:rPr>
          <w:sz w:val="22"/>
          <w:szCs w:val="22"/>
          <w:lang w:val="en-GB"/>
        </w:rPr>
        <w:t>,</w:t>
      </w:r>
      <w:r w:rsidRPr="00D9754E">
        <w:rPr>
          <w:sz w:val="22"/>
          <w:szCs w:val="22"/>
          <w:lang w:val="en-GB"/>
        </w:rPr>
        <w:t xml:space="preserve"> </w:t>
      </w:r>
      <w:r w:rsidR="00931993">
        <w:rPr>
          <w:sz w:val="22"/>
          <w:szCs w:val="22"/>
          <w:lang w:val="en-GB"/>
        </w:rPr>
        <w:t>in particular</w:t>
      </w:r>
      <w:r w:rsidR="00931993" w:rsidRPr="00D9754E">
        <w:rPr>
          <w:sz w:val="22"/>
          <w:szCs w:val="22"/>
          <w:lang w:val="en-GB"/>
        </w:rPr>
        <w:t xml:space="preserve"> </w:t>
      </w:r>
      <w:r w:rsidRPr="00D9754E">
        <w:rPr>
          <w:sz w:val="22"/>
          <w:szCs w:val="22"/>
          <w:lang w:val="en-GB"/>
        </w:rPr>
        <w:t>Mauritania (WHS Banc d’Arguin, MoU since 2014). The TWSC also cooperates with Korea (MoU since 2009)</w:t>
      </w:r>
      <w:r w:rsidR="00931993">
        <w:rPr>
          <w:sz w:val="22"/>
          <w:szCs w:val="22"/>
          <w:lang w:val="en-GB"/>
        </w:rPr>
        <w:t>,</w:t>
      </w:r>
      <w:r w:rsidRPr="00D9754E">
        <w:rPr>
          <w:sz w:val="22"/>
          <w:szCs w:val="22"/>
          <w:lang w:val="en-GB"/>
        </w:rPr>
        <w:t xml:space="preserve"> which shares one of the most important tidal flat ecosystems of the Pacific coast with China</w:t>
      </w:r>
      <w:r w:rsidR="00931993">
        <w:rPr>
          <w:sz w:val="22"/>
          <w:szCs w:val="22"/>
          <w:lang w:val="en-GB"/>
        </w:rPr>
        <w:t xml:space="preserve">. That tidal flat system </w:t>
      </w:r>
      <w:r w:rsidRPr="00D9754E">
        <w:rPr>
          <w:sz w:val="22"/>
          <w:szCs w:val="22"/>
          <w:lang w:val="en-GB"/>
        </w:rPr>
        <w:t>is of similar global importance for flyways as the Wadden Sea.</w:t>
      </w:r>
    </w:p>
    <w:p w:rsidR="00D9754E" w:rsidRPr="00D9754E" w:rsidRDefault="00D9754E" w:rsidP="00D9754E">
      <w:pPr>
        <w:pStyle w:val="Kopfzeile"/>
        <w:tabs>
          <w:tab w:val="left" w:pos="708"/>
        </w:tabs>
        <w:spacing w:after="120" w:line="276" w:lineRule="auto"/>
        <w:rPr>
          <w:sz w:val="22"/>
          <w:szCs w:val="22"/>
          <w:lang w:val="en-GB"/>
        </w:rPr>
      </w:pPr>
      <w:r w:rsidRPr="00D9754E">
        <w:rPr>
          <w:sz w:val="22"/>
          <w:szCs w:val="22"/>
          <w:lang w:val="en-GB"/>
        </w:rPr>
        <w:t>TG-WH 24 also acknowledged the already existing cooperation and exchange in daily work with the Dolomites World Heritage site, specifically the exchange regarding a WH foundation, communication and marketing, and sustainable tourism, which should be continued.</w:t>
      </w:r>
    </w:p>
    <w:p w:rsidR="00D9754E" w:rsidRPr="00D9754E" w:rsidRDefault="00D9754E" w:rsidP="00D9754E">
      <w:pPr>
        <w:pStyle w:val="Kopfzeile"/>
        <w:tabs>
          <w:tab w:val="left" w:pos="708"/>
        </w:tabs>
        <w:spacing w:after="120" w:line="276" w:lineRule="auto"/>
        <w:rPr>
          <w:sz w:val="22"/>
          <w:szCs w:val="22"/>
          <w:lang w:val="en-GB"/>
        </w:rPr>
      </w:pPr>
      <w:r w:rsidRPr="00D9754E">
        <w:rPr>
          <w:sz w:val="22"/>
          <w:szCs w:val="22"/>
          <w:lang w:val="en-GB"/>
        </w:rPr>
        <w:t>In order to formulate a recommendation to the WSB on the future potential and added value of cooperation with other WH sites, TG-WH carried out an analysis of which sites could potentially be approached as MoU partner(s) based on an in-depth analysis prepared by the Secretariat.</w:t>
      </w:r>
    </w:p>
    <w:p w:rsidR="00D9754E" w:rsidRPr="00D9754E" w:rsidRDefault="00D9754E" w:rsidP="00D9754E">
      <w:pPr>
        <w:pStyle w:val="Listenabsatz"/>
        <w:numPr>
          <w:ilvl w:val="0"/>
          <w:numId w:val="25"/>
        </w:numPr>
        <w:spacing w:after="120"/>
        <w:rPr>
          <w:rFonts w:ascii="Arial" w:hAnsi="Arial" w:cs="Arial"/>
          <w:b/>
          <w:szCs w:val="28"/>
          <w:lang w:val="en-GB"/>
        </w:rPr>
      </w:pPr>
      <w:r w:rsidRPr="00D9754E">
        <w:rPr>
          <w:rFonts w:ascii="Arial" w:hAnsi="Arial" w:cs="Arial"/>
          <w:b/>
          <w:szCs w:val="28"/>
          <w:lang w:val="en-GB"/>
        </w:rPr>
        <w:t>Methodology</w:t>
      </w:r>
    </w:p>
    <w:p w:rsidR="00D9754E" w:rsidRPr="00D9754E" w:rsidRDefault="00D9754E" w:rsidP="00D9754E">
      <w:pPr>
        <w:pStyle w:val="Kopfzeile"/>
        <w:tabs>
          <w:tab w:val="left" w:pos="708"/>
        </w:tabs>
        <w:spacing w:after="120" w:line="276" w:lineRule="auto"/>
        <w:rPr>
          <w:sz w:val="22"/>
          <w:szCs w:val="22"/>
          <w:lang w:val="en-GB"/>
        </w:rPr>
      </w:pPr>
      <w:r w:rsidRPr="00D9754E">
        <w:rPr>
          <w:sz w:val="22"/>
          <w:szCs w:val="22"/>
          <w:lang w:val="en-GB"/>
        </w:rPr>
        <w:t xml:space="preserve">The analysis was carried out as follows. </w:t>
      </w:r>
    </w:p>
    <w:p w:rsidR="00D9754E" w:rsidRPr="00D9754E" w:rsidRDefault="00D9754E" w:rsidP="00D9754E">
      <w:pPr>
        <w:pStyle w:val="Kopfzeile"/>
        <w:numPr>
          <w:ilvl w:val="0"/>
          <w:numId w:val="21"/>
        </w:numPr>
        <w:tabs>
          <w:tab w:val="left" w:pos="708"/>
        </w:tabs>
        <w:spacing w:after="120" w:line="276" w:lineRule="auto"/>
        <w:rPr>
          <w:sz w:val="22"/>
          <w:szCs w:val="22"/>
          <w:lang w:val="en-GB"/>
        </w:rPr>
      </w:pPr>
      <w:r w:rsidRPr="00D9754E">
        <w:rPr>
          <w:b/>
          <w:sz w:val="22"/>
          <w:szCs w:val="22"/>
          <w:lang w:val="en-GB"/>
        </w:rPr>
        <w:t>Entire List</w:t>
      </w:r>
      <w:r w:rsidRPr="00D9754E">
        <w:rPr>
          <w:sz w:val="22"/>
          <w:szCs w:val="22"/>
          <w:lang w:val="en-GB"/>
        </w:rPr>
        <w:t xml:space="preserve"> (see separate Excel file): Overview of all 241 natural (206) and mixed (35) WH properties (included sites until July 2018, excludes the newly inscribed properties).</w:t>
      </w:r>
    </w:p>
    <w:p w:rsidR="00D9754E" w:rsidRPr="00D9754E" w:rsidRDefault="00D9754E" w:rsidP="00D9754E">
      <w:pPr>
        <w:pStyle w:val="Kopfzeile"/>
        <w:tabs>
          <w:tab w:val="left" w:pos="708"/>
        </w:tabs>
        <w:spacing w:after="120" w:line="276" w:lineRule="auto"/>
        <w:ind w:left="708"/>
        <w:rPr>
          <w:sz w:val="22"/>
          <w:szCs w:val="22"/>
          <w:lang w:val="en-GB"/>
        </w:rPr>
      </w:pPr>
      <w:r w:rsidRPr="00D9754E">
        <w:rPr>
          <w:sz w:val="22"/>
          <w:szCs w:val="22"/>
          <w:lang w:val="en-GB"/>
        </w:rPr>
        <w:t>Detailed analysis of marine sites and European sites as well as selected sites outside of Europe, according to the following criteria: inscription criteria, marine site, marine components, transboundary site, cross-border character of the property, efforts/costs (e.g. travel effort, language barrier, practical constraints), mutual interests. Please note that due to lacking information not all of the 241 sites have been analysed in more detail.</w:t>
      </w:r>
    </w:p>
    <w:p w:rsidR="00D9754E" w:rsidRPr="00D9754E" w:rsidRDefault="00D9754E" w:rsidP="00D9754E">
      <w:pPr>
        <w:pStyle w:val="Kopfzeile"/>
        <w:numPr>
          <w:ilvl w:val="0"/>
          <w:numId w:val="21"/>
        </w:numPr>
        <w:tabs>
          <w:tab w:val="left" w:pos="708"/>
        </w:tabs>
        <w:spacing w:after="120" w:line="276" w:lineRule="auto"/>
        <w:rPr>
          <w:sz w:val="22"/>
          <w:szCs w:val="22"/>
          <w:lang w:val="en-GB"/>
        </w:rPr>
      </w:pPr>
      <w:r w:rsidRPr="00D9754E">
        <w:rPr>
          <w:b/>
          <w:sz w:val="22"/>
          <w:szCs w:val="22"/>
          <w:lang w:val="en-GB"/>
        </w:rPr>
        <w:t xml:space="preserve">Short List </w:t>
      </w:r>
      <w:r w:rsidRPr="00D9754E">
        <w:rPr>
          <w:sz w:val="22"/>
          <w:szCs w:val="22"/>
          <w:lang w:val="en-GB"/>
        </w:rPr>
        <w:t xml:space="preserve">(see separate Excel file): As a result of the analysis above, 21 sites were identified </w:t>
      </w:r>
      <w:r w:rsidR="00931993">
        <w:rPr>
          <w:sz w:val="22"/>
          <w:szCs w:val="22"/>
          <w:lang w:val="en-GB"/>
        </w:rPr>
        <w:t>as having</w:t>
      </w:r>
      <w:r w:rsidR="00931993" w:rsidRPr="00D9754E">
        <w:rPr>
          <w:sz w:val="22"/>
          <w:szCs w:val="22"/>
          <w:lang w:val="en-GB"/>
        </w:rPr>
        <w:t xml:space="preserve"> </w:t>
      </w:r>
      <w:r w:rsidRPr="00D9754E">
        <w:rPr>
          <w:sz w:val="22"/>
          <w:szCs w:val="22"/>
          <w:lang w:val="en-GB"/>
        </w:rPr>
        <w:t xml:space="preserve">a potential for cooperation because of mutual interests, low or medium effort/costs, or because of existing exchange or ecological importance (though they may require high efforts/costs). </w:t>
      </w:r>
    </w:p>
    <w:p w:rsidR="00D9754E" w:rsidRPr="00D9754E" w:rsidRDefault="00931993" w:rsidP="00D9754E">
      <w:pPr>
        <w:pStyle w:val="Kopfzeile"/>
        <w:numPr>
          <w:ilvl w:val="0"/>
          <w:numId w:val="21"/>
        </w:numPr>
        <w:tabs>
          <w:tab w:val="left" w:pos="708"/>
        </w:tabs>
        <w:spacing w:after="120" w:line="276" w:lineRule="auto"/>
        <w:rPr>
          <w:sz w:val="22"/>
          <w:szCs w:val="22"/>
          <w:lang w:val="en-GB"/>
        </w:rPr>
      </w:pPr>
      <w:r>
        <w:rPr>
          <w:sz w:val="22"/>
          <w:szCs w:val="22"/>
          <w:lang w:val="en-GB"/>
        </w:rPr>
        <w:t>Of</w:t>
      </w:r>
      <w:r w:rsidRPr="00D9754E">
        <w:rPr>
          <w:sz w:val="22"/>
          <w:szCs w:val="22"/>
          <w:lang w:val="en-GB"/>
        </w:rPr>
        <w:t xml:space="preserve"> </w:t>
      </w:r>
      <w:r w:rsidR="00D9754E" w:rsidRPr="00D9754E">
        <w:rPr>
          <w:sz w:val="22"/>
          <w:szCs w:val="22"/>
          <w:lang w:val="en-GB"/>
        </w:rPr>
        <w:t xml:space="preserve">these 21 sites, </w:t>
      </w:r>
      <w:r w:rsidR="00D9754E" w:rsidRPr="00C30FD0">
        <w:rPr>
          <w:b/>
          <w:sz w:val="22"/>
          <w:szCs w:val="22"/>
          <w:lang w:val="en-GB"/>
        </w:rPr>
        <w:t>six sites</w:t>
      </w:r>
      <w:r w:rsidR="00D9754E" w:rsidRPr="00D9754E">
        <w:rPr>
          <w:sz w:val="22"/>
          <w:szCs w:val="22"/>
          <w:lang w:val="en-GB"/>
        </w:rPr>
        <w:t xml:space="preserve"> were selected as potential cooperation partners because of their expected potential benefits of the cooperation for the Wadden Sea (</w:t>
      </w:r>
      <w:r w:rsidR="00D9754E" w:rsidRPr="00D9754E">
        <w:rPr>
          <w:b/>
          <w:sz w:val="22"/>
          <w:szCs w:val="22"/>
          <w:lang w:val="en-GB"/>
        </w:rPr>
        <w:t>see Table 1</w:t>
      </w:r>
      <w:r w:rsidR="00D9754E" w:rsidRPr="00D9754E">
        <w:rPr>
          <w:sz w:val="22"/>
          <w:szCs w:val="22"/>
          <w:lang w:val="en-GB"/>
        </w:rPr>
        <w:t>)</w:t>
      </w:r>
    </w:p>
    <w:p w:rsidR="00D9754E" w:rsidRDefault="00D9754E" w:rsidP="00D9754E">
      <w:pPr>
        <w:spacing w:after="120" w:line="276" w:lineRule="auto"/>
        <w:rPr>
          <w:sz w:val="22"/>
          <w:szCs w:val="22"/>
          <w:lang w:val="en-GB"/>
        </w:rPr>
      </w:pPr>
    </w:p>
    <w:p w:rsidR="00D9754E" w:rsidRPr="00D9754E" w:rsidRDefault="00D9754E" w:rsidP="00D9754E">
      <w:pPr>
        <w:spacing w:after="120" w:line="276" w:lineRule="auto"/>
        <w:rPr>
          <w:sz w:val="22"/>
          <w:szCs w:val="22"/>
          <w:lang w:val="en-GB"/>
        </w:rPr>
      </w:pPr>
    </w:p>
    <w:p w:rsidR="00D9754E" w:rsidRPr="00D9754E" w:rsidRDefault="00D9754E" w:rsidP="00D9754E">
      <w:pPr>
        <w:pStyle w:val="Listenabsatz"/>
        <w:numPr>
          <w:ilvl w:val="0"/>
          <w:numId w:val="25"/>
        </w:numPr>
        <w:spacing w:after="120"/>
        <w:rPr>
          <w:rFonts w:ascii="Arial" w:hAnsi="Arial" w:cs="Arial"/>
          <w:b/>
          <w:szCs w:val="28"/>
          <w:lang w:val="en-GB"/>
        </w:rPr>
      </w:pPr>
      <w:r w:rsidRPr="00D9754E">
        <w:rPr>
          <w:rFonts w:ascii="Arial" w:hAnsi="Arial" w:cs="Arial"/>
          <w:b/>
          <w:szCs w:val="28"/>
          <w:lang w:val="en-GB"/>
        </w:rPr>
        <w:lastRenderedPageBreak/>
        <w:t>Conclusion</w:t>
      </w:r>
    </w:p>
    <w:p w:rsidR="00C30FD0" w:rsidRDefault="00D9754E" w:rsidP="00D9754E">
      <w:pPr>
        <w:tabs>
          <w:tab w:val="left" w:pos="360"/>
        </w:tabs>
        <w:spacing w:after="120" w:line="276" w:lineRule="auto"/>
        <w:rPr>
          <w:sz w:val="22"/>
          <w:szCs w:val="22"/>
          <w:lang w:val="en-GB"/>
        </w:rPr>
      </w:pPr>
      <w:r w:rsidRPr="00D9754E">
        <w:rPr>
          <w:sz w:val="22"/>
          <w:szCs w:val="22"/>
          <w:lang w:val="en-GB"/>
        </w:rPr>
        <w:t>Thus far, international cooperation has focused on sites with similar ecosystem and management challenges, in particular to support the protection of tidal flat ecosystems of worldwide importance and conservation of migratory Wadden Sea birds depending on the East Atlantic Flyway, such as the cooperation with Guinea-Bissau in the 1990s, with West African countries (WSFI) since 2012, and the MoU with Banc d’Arguin (</w:t>
      </w:r>
      <w:r w:rsidR="00931993" w:rsidRPr="00D9754E">
        <w:rPr>
          <w:sz w:val="22"/>
          <w:szCs w:val="22"/>
          <w:lang w:val="en-GB"/>
        </w:rPr>
        <w:t>Maur</w:t>
      </w:r>
      <w:r w:rsidR="00931993">
        <w:rPr>
          <w:sz w:val="22"/>
          <w:szCs w:val="22"/>
          <w:lang w:val="en-GB"/>
        </w:rPr>
        <w:t>i</w:t>
      </w:r>
      <w:r w:rsidR="00931993" w:rsidRPr="00D9754E">
        <w:rPr>
          <w:sz w:val="22"/>
          <w:szCs w:val="22"/>
          <w:lang w:val="en-GB"/>
        </w:rPr>
        <w:t>tania</w:t>
      </w:r>
      <w:r w:rsidRPr="00D9754E">
        <w:rPr>
          <w:sz w:val="22"/>
          <w:szCs w:val="22"/>
          <w:lang w:val="en-GB"/>
        </w:rPr>
        <w:t xml:space="preserve">) in 2014. </w:t>
      </w:r>
    </w:p>
    <w:p w:rsidR="00D9754E" w:rsidRPr="00D9754E" w:rsidRDefault="00C30FD0" w:rsidP="00D9754E">
      <w:pPr>
        <w:tabs>
          <w:tab w:val="left" w:pos="360"/>
        </w:tabs>
        <w:spacing w:after="120" w:line="276" w:lineRule="auto"/>
        <w:rPr>
          <w:sz w:val="22"/>
          <w:szCs w:val="22"/>
          <w:lang w:val="en-GB"/>
        </w:rPr>
      </w:pPr>
      <w:r>
        <w:rPr>
          <w:sz w:val="22"/>
          <w:szCs w:val="22"/>
          <w:lang w:val="en-GB"/>
        </w:rPr>
        <w:t>C</w:t>
      </w:r>
      <w:r w:rsidR="00D9754E" w:rsidRPr="00D9754E">
        <w:rPr>
          <w:sz w:val="22"/>
          <w:szCs w:val="22"/>
          <w:lang w:val="en-GB"/>
        </w:rPr>
        <w:t>ooperation with the WH sites Djoudj National Bird Sanctuary (Senegal) and Do</w:t>
      </w:r>
      <w:r w:rsidR="00931993">
        <w:rPr>
          <w:sz w:val="22"/>
          <w:szCs w:val="22"/>
          <w:lang w:val="en-GB"/>
        </w:rPr>
        <w:t>ñ</w:t>
      </w:r>
      <w:r w:rsidR="00D9754E" w:rsidRPr="00D9754E">
        <w:rPr>
          <w:sz w:val="22"/>
          <w:szCs w:val="22"/>
          <w:lang w:val="en-GB"/>
        </w:rPr>
        <w:t xml:space="preserve">ana National Park (Spain) is (or will be) carried out in the framework of WSFI. </w:t>
      </w:r>
    </w:p>
    <w:p w:rsidR="00D9754E" w:rsidRPr="00D9754E" w:rsidRDefault="00D9754E" w:rsidP="00D9754E">
      <w:pPr>
        <w:tabs>
          <w:tab w:val="left" w:pos="360"/>
        </w:tabs>
        <w:spacing w:after="120" w:line="276" w:lineRule="auto"/>
        <w:rPr>
          <w:sz w:val="22"/>
          <w:szCs w:val="22"/>
          <w:lang w:val="en-GB"/>
        </w:rPr>
      </w:pPr>
      <w:r w:rsidRPr="00D9754E">
        <w:rPr>
          <w:sz w:val="22"/>
          <w:szCs w:val="22"/>
          <w:lang w:val="en-GB"/>
        </w:rPr>
        <w:t xml:space="preserve">With the inscription as a World Heritage site in 2009 (and extension 2014), additional topics and tasks such as sustainable tourism and regional development, engagement of local communities, education and awareness raising, and capacity building (see World Heritage Strategy) have resulted in the need to extend the cooperation to other sites also addressing these topics by sharing experiences and best practice solution. </w:t>
      </w:r>
    </w:p>
    <w:p w:rsidR="00D9754E" w:rsidRPr="00D9754E" w:rsidRDefault="00D9754E" w:rsidP="00D9754E">
      <w:pPr>
        <w:tabs>
          <w:tab w:val="left" w:pos="360"/>
        </w:tabs>
        <w:spacing w:after="120" w:line="276" w:lineRule="auto"/>
        <w:rPr>
          <w:sz w:val="22"/>
          <w:szCs w:val="22"/>
          <w:lang w:val="en-GB"/>
        </w:rPr>
      </w:pPr>
    </w:p>
    <w:p w:rsidR="00D9754E" w:rsidRPr="00D9754E" w:rsidRDefault="00D9754E" w:rsidP="00D9754E">
      <w:pPr>
        <w:tabs>
          <w:tab w:val="left" w:pos="360"/>
        </w:tabs>
        <w:spacing w:after="120" w:line="276" w:lineRule="auto"/>
        <w:rPr>
          <w:sz w:val="22"/>
          <w:szCs w:val="22"/>
          <w:lang w:val="en-GB"/>
        </w:rPr>
      </w:pPr>
      <w:r w:rsidRPr="00D9754E">
        <w:rPr>
          <w:sz w:val="22"/>
          <w:szCs w:val="22"/>
          <w:lang w:val="en-GB"/>
        </w:rPr>
        <w:t>The WH sites listed in Table 1 are six of over 240 natural sites which have similar interests and considerable experience in these topics:</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High Coast/Kvarken (viii),</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Dorset and East Devon Coast (Jurassic Coast) (viii),</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West Norwegian Fjords (vii, viii),</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Ancient and Primeval Beach Forests (ix),</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The Dolomites (vii, viii),</w:t>
      </w:r>
    </w:p>
    <w:p w:rsidR="00D9754E" w:rsidRPr="00D9754E" w:rsidRDefault="00D9754E" w:rsidP="00D9754E">
      <w:pPr>
        <w:numPr>
          <w:ilvl w:val="0"/>
          <w:numId w:val="23"/>
        </w:numPr>
        <w:tabs>
          <w:tab w:val="left" w:pos="360"/>
        </w:tabs>
        <w:spacing w:after="120" w:line="276" w:lineRule="auto"/>
        <w:rPr>
          <w:sz w:val="22"/>
          <w:szCs w:val="22"/>
          <w:lang w:val="en-GB"/>
        </w:rPr>
      </w:pPr>
      <w:r w:rsidRPr="00D9754E">
        <w:rPr>
          <w:sz w:val="22"/>
          <w:szCs w:val="22"/>
          <w:lang w:val="en-GB"/>
        </w:rPr>
        <w:t>Great Barrier Reef (vii, viii, ix, x).</w:t>
      </w:r>
    </w:p>
    <w:p w:rsidR="00D9754E" w:rsidRPr="00D9754E" w:rsidRDefault="00D9754E" w:rsidP="00D9754E">
      <w:pPr>
        <w:tabs>
          <w:tab w:val="left" w:pos="360"/>
        </w:tabs>
        <w:spacing w:after="120" w:line="276" w:lineRule="auto"/>
        <w:rPr>
          <w:sz w:val="22"/>
          <w:szCs w:val="22"/>
          <w:lang w:val="en-GB"/>
        </w:rPr>
      </w:pPr>
      <w:r w:rsidRPr="00D9754E">
        <w:rPr>
          <w:sz w:val="22"/>
          <w:szCs w:val="22"/>
          <w:lang w:val="en-GB"/>
        </w:rPr>
        <w:t xml:space="preserve">An exchange with these sites currently takes place on an ad-hoc basis. In case of the marine sites (no. 1-3, and 6) this is done in the framework of the WH Marine Programme and in the upcoming PROWAD LINK project (no. 1-3 as network partners). The cooperation with the Beech Forests </w:t>
      </w:r>
      <w:r w:rsidR="00451CFF" w:rsidRPr="00D9754E">
        <w:rPr>
          <w:sz w:val="22"/>
          <w:szCs w:val="22"/>
          <w:lang w:val="en-GB"/>
        </w:rPr>
        <w:t>WH</w:t>
      </w:r>
      <w:r w:rsidR="00451CFF">
        <w:rPr>
          <w:sz w:val="22"/>
          <w:szCs w:val="22"/>
          <w:lang w:val="en-GB"/>
        </w:rPr>
        <w:t>S</w:t>
      </w:r>
      <w:r w:rsidR="00451CFF" w:rsidRPr="00D9754E">
        <w:rPr>
          <w:sz w:val="22"/>
          <w:szCs w:val="22"/>
          <w:lang w:val="en-GB"/>
        </w:rPr>
        <w:t xml:space="preserve"> </w:t>
      </w:r>
      <w:r w:rsidRPr="00D9754E">
        <w:rPr>
          <w:sz w:val="22"/>
          <w:szCs w:val="22"/>
          <w:lang w:val="en-GB"/>
        </w:rPr>
        <w:t xml:space="preserve">so far consists only of </w:t>
      </w:r>
      <w:r w:rsidR="00C91018">
        <w:rPr>
          <w:sz w:val="22"/>
          <w:szCs w:val="22"/>
          <w:lang w:val="en-GB"/>
        </w:rPr>
        <w:t xml:space="preserve">an informal </w:t>
      </w:r>
      <w:r w:rsidRPr="00D9754E">
        <w:rPr>
          <w:sz w:val="22"/>
          <w:szCs w:val="22"/>
          <w:lang w:val="en-GB"/>
        </w:rPr>
        <w:t>exchange with the German partners</w:t>
      </w:r>
      <w:r w:rsidR="00C91018">
        <w:rPr>
          <w:sz w:val="22"/>
          <w:szCs w:val="22"/>
          <w:lang w:val="en-GB"/>
        </w:rPr>
        <w:t>.</w:t>
      </w:r>
      <w:r w:rsidRPr="00D9754E">
        <w:rPr>
          <w:sz w:val="22"/>
          <w:szCs w:val="22"/>
          <w:lang w:val="en-GB"/>
        </w:rPr>
        <w:t xml:space="preserve"> An </w:t>
      </w:r>
      <w:r w:rsidR="00C91018">
        <w:rPr>
          <w:sz w:val="22"/>
          <w:szCs w:val="22"/>
          <w:lang w:val="en-GB"/>
        </w:rPr>
        <w:t xml:space="preserve">continuation of the ongoing </w:t>
      </w:r>
      <w:r w:rsidRPr="00D9754E">
        <w:rPr>
          <w:sz w:val="22"/>
          <w:szCs w:val="22"/>
          <w:lang w:val="en-GB"/>
        </w:rPr>
        <w:t>exchange with all sites</w:t>
      </w:r>
      <w:r w:rsidR="00451CFF">
        <w:rPr>
          <w:sz w:val="22"/>
          <w:szCs w:val="22"/>
          <w:lang w:val="en-GB"/>
        </w:rPr>
        <w:t xml:space="preserve"> would</w:t>
      </w:r>
      <w:r w:rsidRPr="00D9754E">
        <w:rPr>
          <w:sz w:val="22"/>
          <w:szCs w:val="22"/>
          <w:lang w:val="en-GB"/>
        </w:rPr>
        <w:t xml:space="preserve"> provide additional benefits for the Wadden Sea Cooperation (details see table 1).</w:t>
      </w:r>
    </w:p>
    <w:p w:rsidR="00D9754E" w:rsidRPr="00D9754E" w:rsidRDefault="00D9754E" w:rsidP="00D9754E">
      <w:pPr>
        <w:tabs>
          <w:tab w:val="left" w:pos="360"/>
        </w:tabs>
        <w:spacing w:after="120" w:line="276" w:lineRule="auto"/>
        <w:rPr>
          <w:sz w:val="22"/>
          <w:szCs w:val="22"/>
          <w:lang w:val="en-GB"/>
        </w:rPr>
      </w:pPr>
      <w:r w:rsidRPr="00D9754E">
        <w:rPr>
          <w:sz w:val="22"/>
          <w:szCs w:val="22"/>
          <w:lang w:val="en-GB"/>
        </w:rPr>
        <w:t xml:space="preserve">With </w:t>
      </w:r>
      <w:r w:rsidR="00451CFF">
        <w:rPr>
          <w:sz w:val="22"/>
          <w:szCs w:val="22"/>
          <w:lang w:val="en-GB"/>
        </w:rPr>
        <w:t xml:space="preserve">the </w:t>
      </w:r>
      <w:r w:rsidRPr="00D9754E">
        <w:rPr>
          <w:sz w:val="22"/>
          <w:szCs w:val="22"/>
          <w:lang w:val="en-GB"/>
        </w:rPr>
        <w:t xml:space="preserve">exception of </w:t>
      </w:r>
      <w:r w:rsidR="00451CFF">
        <w:rPr>
          <w:sz w:val="22"/>
          <w:szCs w:val="22"/>
          <w:lang w:val="en-GB"/>
        </w:rPr>
        <w:t xml:space="preserve">the </w:t>
      </w:r>
      <w:r w:rsidRPr="00D9754E">
        <w:rPr>
          <w:sz w:val="22"/>
          <w:szCs w:val="22"/>
          <w:lang w:val="en-GB"/>
        </w:rPr>
        <w:t xml:space="preserve">Great Barrier Reef (GBR) (inscribed under all four nature criteria), the other marine sites are inscribed under criteria vii (beauty) and/or viii (geology). The Great Barrier Reef WHS has a great expertise in nature conservation management which would be very beneficial for the Wadden Sea Cooperation (e.g. strategic assessments and outlook reports). However, an effective exchange would require substantial additional resources in terms of staff hours and travel costs. Because of the high efforts needed, exchanges (expert meetings, site visits) with GBR </w:t>
      </w:r>
      <w:r w:rsidR="00451CFF">
        <w:rPr>
          <w:sz w:val="22"/>
          <w:szCs w:val="22"/>
          <w:lang w:val="en-GB"/>
        </w:rPr>
        <w:t xml:space="preserve">have thus far </w:t>
      </w:r>
      <w:r w:rsidRPr="00D9754E">
        <w:rPr>
          <w:sz w:val="22"/>
          <w:szCs w:val="22"/>
          <w:lang w:val="en-GB"/>
        </w:rPr>
        <w:t xml:space="preserve">merely </w:t>
      </w:r>
      <w:r w:rsidR="00451CFF">
        <w:rPr>
          <w:sz w:val="22"/>
          <w:szCs w:val="22"/>
          <w:lang w:val="en-GB"/>
        </w:rPr>
        <w:t>taken place</w:t>
      </w:r>
      <w:r w:rsidRPr="00D9754E">
        <w:rPr>
          <w:sz w:val="22"/>
          <w:szCs w:val="22"/>
          <w:lang w:val="en-GB"/>
        </w:rPr>
        <w:t xml:space="preserve"> on an ad-hoc basis.</w:t>
      </w:r>
    </w:p>
    <w:p w:rsidR="00D9754E" w:rsidRPr="00D9754E" w:rsidRDefault="00D9754E" w:rsidP="00D9754E">
      <w:pPr>
        <w:tabs>
          <w:tab w:val="left" w:pos="360"/>
        </w:tabs>
        <w:spacing w:after="120" w:line="276" w:lineRule="auto"/>
        <w:rPr>
          <w:sz w:val="22"/>
          <w:szCs w:val="22"/>
          <w:lang w:val="en-GB"/>
        </w:rPr>
      </w:pPr>
      <w:r w:rsidRPr="00D9754E">
        <w:rPr>
          <w:sz w:val="22"/>
          <w:szCs w:val="22"/>
          <w:lang w:val="en-GB"/>
        </w:rPr>
        <w:t>Given the Dolomites’ seven years of experience, in particular their network approach to science and education and their successful establishment of a foundation, this cooperation would be mutually beneficial and, in fact of great value to the Trilateral Wadden Sea Cooperation in particular regarding sustainable tourism, stakeholder engagement, communication and awareness, and establishing a World Heritage foundation. A</w:t>
      </w:r>
      <w:r w:rsidR="00451CFF">
        <w:rPr>
          <w:sz w:val="22"/>
          <w:szCs w:val="22"/>
          <w:lang w:val="en-GB"/>
        </w:rPr>
        <w:t>n</w:t>
      </w:r>
      <w:r w:rsidRPr="00D9754E">
        <w:rPr>
          <w:sz w:val="22"/>
          <w:szCs w:val="22"/>
          <w:lang w:val="en-GB"/>
        </w:rPr>
        <w:t xml:space="preserve"> MoU would put this cooperation on a more formal footing and foster enhanced cooperation because </w:t>
      </w:r>
      <w:r w:rsidRPr="00D9754E">
        <w:rPr>
          <w:sz w:val="22"/>
          <w:szCs w:val="22"/>
          <w:lang w:val="en-GB"/>
        </w:rPr>
        <w:lastRenderedPageBreak/>
        <w:t xml:space="preserve">planning of resources (staff hours, travel costs) would give a reliable framework for cooperation for a longer timer period on both sides. </w:t>
      </w:r>
    </w:p>
    <w:p w:rsidR="00D9754E" w:rsidRPr="00D9754E" w:rsidRDefault="00D9754E" w:rsidP="00D9754E">
      <w:pPr>
        <w:tabs>
          <w:tab w:val="left" w:pos="360"/>
        </w:tabs>
        <w:spacing w:after="120" w:line="276" w:lineRule="auto"/>
        <w:rPr>
          <w:sz w:val="22"/>
          <w:szCs w:val="22"/>
          <w:lang w:val="en-GB"/>
        </w:rPr>
      </w:pPr>
    </w:p>
    <w:p w:rsidR="00D9754E" w:rsidRDefault="00D9754E" w:rsidP="00D9754E">
      <w:pPr>
        <w:pStyle w:val="Listenabsatz"/>
        <w:numPr>
          <w:ilvl w:val="0"/>
          <w:numId w:val="25"/>
        </w:numPr>
        <w:spacing w:after="120"/>
        <w:ind w:left="714" w:hanging="357"/>
        <w:rPr>
          <w:rFonts w:ascii="Arial" w:hAnsi="Arial" w:cs="Arial"/>
          <w:b/>
          <w:szCs w:val="28"/>
          <w:lang w:val="en-GB"/>
        </w:rPr>
      </w:pPr>
      <w:r w:rsidRPr="00D9754E">
        <w:rPr>
          <w:rFonts w:ascii="Arial" w:hAnsi="Arial" w:cs="Arial"/>
          <w:b/>
          <w:szCs w:val="28"/>
          <w:lang w:val="en-GB"/>
        </w:rPr>
        <w:t>Proposal</w:t>
      </w:r>
    </w:p>
    <w:p w:rsidR="00D9754E" w:rsidRPr="00067847" w:rsidRDefault="00257670" w:rsidP="00D9754E">
      <w:pPr>
        <w:pStyle w:val="Listenabsatz"/>
        <w:spacing w:after="120"/>
        <w:ind w:left="714"/>
        <w:rPr>
          <w:rFonts w:ascii="Times New Roman" w:hAnsi="Times New Roman" w:cs="Times New Roman"/>
          <w:szCs w:val="28"/>
          <w:u w:val="single"/>
          <w:lang w:val="en-GB"/>
        </w:rPr>
      </w:pPr>
      <w:r w:rsidRPr="00067847">
        <w:rPr>
          <w:rFonts w:ascii="Times New Roman" w:hAnsi="Times New Roman" w:cs="Times New Roman"/>
          <w:szCs w:val="28"/>
          <w:u w:val="single"/>
          <w:lang w:val="en-GB"/>
        </w:rPr>
        <w:t xml:space="preserve">As requested by WSB, for each proposal </w:t>
      </w:r>
      <w:r w:rsidR="00067847" w:rsidRPr="00067847">
        <w:rPr>
          <w:rFonts w:ascii="Times New Roman" w:hAnsi="Times New Roman" w:cs="Times New Roman"/>
          <w:szCs w:val="28"/>
          <w:u w:val="single"/>
          <w:lang w:val="en-GB"/>
        </w:rPr>
        <w:t>the</w:t>
      </w:r>
      <w:r w:rsidR="00067847" w:rsidRPr="00067847">
        <w:rPr>
          <w:rFonts w:ascii="Times New Roman" w:hAnsi="Times New Roman" w:cs="Times New Roman"/>
          <w:u w:val="single"/>
          <w:lang w:val="en-GB" w:eastAsia="de-DE"/>
        </w:rPr>
        <w:t xml:space="preserve"> financial and work time implications have been specified.</w:t>
      </w:r>
    </w:p>
    <w:p w:rsidR="00257670" w:rsidRPr="00067847" w:rsidRDefault="00257670" w:rsidP="00D9754E">
      <w:pPr>
        <w:pStyle w:val="Listenabsatz"/>
        <w:spacing w:after="120"/>
        <w:ind w:left="714"/>
        <w:rPr>
          <w:rFonts w:ascii="Times New Roman" w:hAnsi="Times New Roman" w:cs="Times New Roman"/>
          <w:szCs w:val="28"/>
          <w:lang w:val="en-GB"/>
        </w:rPr>
      </w:pPr>
    </w:p>
    <w:p w:rsidR="00D9754E" w:rsidRDefault="00D9754E" w:rsidP="00257670">
      <w:pPr>
        <w:pStyle w:val="Listenabsatz"/>
        <w:numPr>
          <w:ilvl w:val="0"/>
          <w:numId w:val="24"/>
        </w:numPr>
        <w:tabs>
          <w:tab w:val="left" w:pos="360"/>
        </w:tabs>
        <w:spacing w:after="120"/>
        <w:ind w:left="714" w:hanging="357"/>
        <w:rPr>
          <w:rFonts w:ascii="Times New Roman" w:hAnsi="Times New Roman" w:cs="Times New Roman"/>
          <w:lang w:val="en-GB"/>
        </w:rPr>
      </w:pPr>
      <w:r w:rsidRPr="00D9754E">
        <w:rPr>
          <w:rFonts w:ascii="Times New Roman" w:hAnsi="Times New Roman" w:cs="Times New Roman"/>
          <w:lang w:val="en-GB"/>
        </w:rPr>
        <w:t xml:space="preserve">To continue and strengthen the cooperation with European WH marine and coastal sites (High coast/Kvarken, Dorset and East Devon Coast - Jurassic Coast) and the West Norwegian Fjords in the framework of the WH marine programme and within the PROWAD Link project. </w:t>
      </w:r>
      <w:r w:rsidR="00257670">
        <w:rPr>
          <w:rFonts w:ascii="Times New Roman" w:hAnsi="Times New Roman" w:cs="Times New Roman"/>
          <w:lang w:val="en-GB"/>
        </w:rPr>
        <w:br/>
      </w:r>
      <w:r w:rsidR="00257670" w:rsidRPr="00257670">
        <w:rPr>
          <w:rFonts w:ascii="Times New Roman" w:hAnsi="Times New Roman" w:cs="Times New Roman"/>
          <w:u w:val="single"/>
          <w:lang w:val="en-GB"/>
        </w:rPr>
        <w:t>Financial and work time implications</w:t>
      </w:r>
      <w:r w:rsidR="00257670">
        <w:rPr>
          <w:rFonts w:ascii="Times New Roman" w:hAnsi="Times New Roman" w:cs="Times New Roman"/>
          <w:lang w:val="en-GB"/>
        </w:rPr>
        <w:t>: With</w:t>
      </w:r>
      <w:r w:rsidR="00C37D64">
        <w:rPr>
          <w:rFonts w:ascii="Times New Roman" w:hAnsi="Times New Roman" w:cs="Times New Roman"/>
          <w:lang w:val="en-GB"/>
        </w:rPr>
        <w:t>in</w:t>
      </w:r>
      <w:r w:rsidR="00257670">
        <w:rPr>
          <w:rFonts w:ascii="Times New Roman" w:hAnsi="Times New Roman" w:cs="Times New Roman"/>
          <w:lang w:val="en-GB"/>
        </w:rPr>
        <w:t xml:space="preserve"> the allocated budget and work hours (cooperation with WH marine programme and PROWAD LINK budget. </w:t>
      </w:r>
      <w:r w:rsidR="00C91018">
        <w:rPr>
          <w:rFonts w:ascii="Times New Roman" w:hAnsi="Times New Roman" w:cs="Times New Roman"/>
          <w:lang w:val="en-GB"/>
        </w:rPr>
        <w:br/>
      </w:r>
    </w:p>
    <w:p w:rsidR="00D9754E" w:rsidRPr="00257670" w:rsidRDefault="00D9754E" w:rsidP="00257670">
      <w:pPr>
        <w:pStyle w:val="Listenabsatz"/>
        <w:numPr>
          <w:ilvl w:val="0"/>
          <w:numId w:val="24"/>
        </w:numPr>
        <w:tabs>
          <w:tab w:val="left" w:pos="360"/>
        </w:tabs>
        <w:spacing w:after="120"/>
        <w:ind w:left="714" w:hanging="357"/>
        <w:rPr>
          <w:rFonts w:ascii="Times New Roman" w:hAnsi="Times New Roman" w:cs="Times New Roman"/>
          <w:strike/>
          <w:lang w:val="en-GB"/>
        </w:rPr>
      </w:pPr>
      <w:r w:rsidRPr="00257670">
        <w:rPr>
          <w:rFonts w:ascii="Times New Roman" w:hAnsi="Times New Roman" w:cs="Times New Roman"/>
          <w:strike/>
          <w:lang w:val="en-GB"/>
        </w:rPr>
        <w:t>To conti</w:t>
      </w:r>
      <w:r w:rsidR="00C30FD0" w:rsidRPr="00257670">
        <w:rPr>
          <w:rFonts w:ascii="Times New Roman" w:hAnsi="Times New Roman" w:cs="Times New Roman"/>
          <w:strike/>
          <w:lang w:val="en-GB"/>
        </w:rPr>
        <w:t>nue the cooperation with the Bee</w:t>
      </w:r>
      <w:r w:rsidRPr="00257670">
        <w:rPr>
          <w:rFonts w:ascii="Times New Roman" w:hAnsi="Times New Roman" w:cs="Times New Roman"/>
          <w:strike/>
          <w:lang w:val="en-GB"/>
        </w:rPr>
        <w:t xml:space="preserve">ch Forests </w:t>
      </w:r>
      <w:r w:rsidR="00451CFF" w:rsidRPr="00257670">
        <w:rPr>
          <w:rFonts w:ascii="Times New Roman" w:hAnsi="Times New Roman" w:cs="Times New Roman"/>
          <w:strike/>
          <w:lang w:val="en-GB"/>
        </w:rPr>
        <w:t xml:space="preserve">WHS </w:t>
      </w:r>
      <w:r w:rsidRPr="00257670">
        <w:rPr>
          <w:rFonts w:ascii="Times New Roman" w:hAnsi="Times New Roman" w:cs="Times New Roman"/>
          <w:strike/>
          <w:lang w:val="en-GB"/>
        </w:rPr>
        <w:t>via regular exchange with the German site managers concern</w:t>
      </w:r>
      <w:r w:rsidR="00451CFF" w:rsidRPr="00257670">
        <w:rPr>
          <w:rFonts w:ascii="Times New Roman" w:hAnsi="Times New Roman" w:cs="Times New Roman"/>
          <w:strike/>
          <w:lang w:val="en-GB"/>
        </w:rPr>
        <w:t>ing</w:t>
      </w:r>
      <w:r w:rsidRPr="00257670">
        <w:rPr>
          <w:rFonts w:ascii="Times New Roman" w:hAnsi="Times New Roman" w:cs="Times New Roman"/>
          <w:strike/>
          <w:lang w:val="en-GB"/>
        </w:rPr>
        <w:t xml:space="preserve"> WH </w:t>
      </w:r>
      <w:r w:rsidRPr="00257670">
        <w:rPr>
          <w:rFonts w:ascii="Times New Roman" w:hAnsi="Times New Roman" w:cs="Times New Roman"/>
          <w:strike/>
          <w:lang w:val="en-GB" w:eastAsia="de-DE"/>
        </w:rPr>
        <w:t>communication and management of protected sites including visitor management and sustainable tourism.</w:t>
      </w:r>
    </w:p>
    <w:p w:rsidR="00257670" w:rsidRPr="00257670" w:rsidRDefault="00D9754E" w:rsidP="00257670">
      <w:pPr>
        <w:pStyle w:val="Listenabsatz"/>
        <w:numPr>
          <w:ilvl w:val="0"/>
          <w:numId w:val="24"/>
        </w:numPr>
        <w:tabs>
          <w:tab w:val="left" w:pos="360"/>
        </w:tabs>
        <w:spacing w:after="120"/>
        <w:ind w:left="714" w:hanging="357"/>
        <w:rPr>
          <w:rFonts w:ascii="Times New Roman" w:hAnsi="Times New Roman" w:cs="Times New Roman"/>
          <w:lang w:val="en-GB"/>
        </w:rPr>
      </w:pPr>
      <w:r w:rsidRPr="00D9754E">
        <w:rPr>
          <w:rFonts w:ascii="Times New Roman" w:hAnsi="Times New Roman" w:cs="Times New Roman"/>
          <w:lang w:val="en-GB"/>
        </w:rPr>
        <w:t xml:space="preserve">To continue the exchange with the Great Barrier Reef </w:t>
      </w:r>
      <w:r w:rsidR="00451CFF" w:rsidRPr="00D9754E">
        <w:rPr>
          <w:rFonts w:ascii="Times New Roman" w:hAnsi="Times New Roman" w:cs="Times New Roman"/>
          <w:lang w:val="en-GB"/>
        </w:rPr>
        <w:t xml:space="preserve">WHS </w:t>
      </w:r>
      <w:r w:rsidRPr="00D9754E">
        <w:rPr>
          <w:rFonts w:ascii="Times New Roman" w:hAnsi="Times New Roman" w:cs="Times New Roman"/>
          <w:lang w:val="en-GB"/>
        </w:rPr>
        <w:t xml:space="preserve">on the current level. </w:t>
      </w:r>
      <w:r w:rsidR="00451CFF">
        <w:rPr>
          <w:rFonts w:ascii="Times New Roman" w:hAnsi="Times New Roman" w:cs="Times New Roman"/>
          <w:lang w:val="en-GB"/>
        </w:rPr>
        <w:t>If</w:t>
      </w:r>
      <w:r w:rsidRPr="00D9754E">
        <w:rPr>
          <w:rFonts w:ascii="Times New Roman" w:hAnsi="Times New Roman" w:cs="Times New Roman"/>
          <w:lang w:val="en-GB"/>
        </w:rPr>
        <w:t xml:space="preserve"> a more intensive cooperation in </w:t>
      </w:r>
      <w:r w:rsidR="00451CFF">
        <w:rPr>
          <w:rFonts w:ascii="Times New Roman" w:hAnsi="Times New Roman" w:cs="Times New Roman"/>
          <w:lang w:val="en-GB"/>
        </w:rPr>
        <w:t>the</w:t>
      </w:r>
      <w:r w:rsidR="00451CFF" w:rsidRPr="00D9754E">
        <w:rPr>
          <w:rFonts w:ascii="Times New Roman" w:hAnsi="Times New Roman" w:cs="Times New Roman"/>
          <w:lang w:val="en-GB"/>
        </w:rPr>
        <w:t xml:space="preserve"> </w:t>
      </w:r>
      <w:r w:rsidRPr="00D9754E">
        <w:rPr>
          <w:rFonts w:ascii="Times New Roman" w:hAnsi="Times New Roman" w:cs="Times New Roman"/>
          <w:lang w:val="en-GB"/>
        </w:rPr>
        <w:t xml:space="preserve">framework of a MoU is desired, </w:t>
      </w:r>
      <w:r w:rsidR="00451CFF">
        <w:rPr>
          <w:rFonts w:ascii="Times New Roman" w:hAnsi="Times New Roman" w:cs="Times New Roman"/>
          <w:lang w:val="en-GB"/>
        </w:rPr>
        <w:t xml:space="preserve">this would require </w:t>
      </w:r>
      <w:r w:rsidRPr="00D9754E">
        <w:rPr>
          <w:rFonts w:ascii="Times New Roman" w:hAnsi="Times New Roman" w:cs="Times New Roman"/>
          <w:lang w:val="en-GB"/>
        </w:rPr>
        <w:t>substantial additional resources</w:t>
      </w:r>
      <w:r w:rsidR="00257670">
        <w:rPr>
          <w:rFonts w:ascii="Times New Roman" w:hAnsi="Times New Roman" w:cs="Times New Roman"/>
          <w:lang w:val="en-GB"/>
        </w:rPr>
        <w:t>.</w:t>
      </w:r>
      <w:r w:rsidR="00257670">
        <w:rPr>
          <w:rFonts w:ascii="Times New Roman" w:hAnsi="Times New Roman" w:cs="Times New Roman"/>
          <w:lang w:val="en-GB"/>
        </w:rPr>
        <w:br/>
      </w:r>
      <w:r w:rsidR="00257670" w:rsidRPr="00257670">
        <w:rPr>
          <w:rFonts w:ascii="Times New Roman" w:hAnsi="Times New Roman" w:cs="Times New Roman"/>
          <w:u w:val="single"/>
          <w:lang w:val="en-GB"/>
        </w:rPr>
        <w:t>Financial and work time implications</w:t>
      </w:r>
      <w:r w:rsidR="00257670">
        <w:rPr>
          <w:rFonts w:ascii="Times New Roman" w:hAnsi="Times New Roman" w:cs="Times New Roman"/>
          <w:u w:val="single"/>
          <w:lang w:val="en-GB"/>
        </w:rPr>
        <w:t>:</w:t>
      </w:r>
      <w:r w:rsidR="00257670">
        <w:rPr>
          <w:rFonts w:ascii="Times New Roman" w:hAnsi="Times New Roman" w:cs="Times New Roman"/>
          <w:lang w:val="en-GB"/>
        </w:rPr>
        <w:t xml:space="preserve"> Information exchange is currently done with the allocated budget and work hours.</w:t>
      </w:r>
      <w:r w:rsidR="00C91018">
        <w:rPr>
          <w:rFonts w:ascii="Times New Roman" w:hAnsi="Times New Roman" w:cs="Times New Roman"/>
          <w:lang w:val="en-GB"/>
        </w:rPr>
        <w:br/>
      </w:r>
    </w:p>
    <w:p w:rsidR="00257670" w:rsidRPr="00257670" w:rsidRDefault="00D9754E" w:rsidP="00257670">
      <w:pPr>
        <w:pStyle w:val="Listenabsatz"/>
        <w:numPr>
          <w:ilvl w:val="0"/>
          <w:numId w:val="24"/>
        </w:numPr>
        <w:tabs>
          <w:tab w:val="left" w:pos="360"/>
        </w:tabs>
        <w:spacing w:after="120"/>
        <w:ind w:left="714" w:hanging="357"/>
        <w:rPr>
          <w:rFonts w:ascii="Times New Roman" w:hAnsi="Times New Roman" w:cs="Times New Roman"/>
          <w:lang w:val="en-GB"/>
        </w:rPr>
      </w:pPr>
      <w:r w:rsidRPr="00257670">
        <w:rPr>
          <w:rFonts w:ascii="Times New Roman" w:hAnsi="Times New Roman" w:cs="Times New Roman"/>
          <w:lang w:val="en-GB"/>
        </w:rPr>
        <w:t>To continue the cooperation with the Dolomites WHS on concrete activities at the current level, such as ITB, 10</w:t>
      </w:r>
      <w:r w:rsidRPr="00257670">
        <w:rPr>
          <w:rFonts w:ascii="Times New Roman" w:hAnsi="Times New Roman" w:cs="Times New Roman"/>
          <w:vertAlign w:val="superscript"/>
          <w:lang w:val="en-GB"/>
        </w:rPr>
        <w:t>th</w:t>
      </w:r>
      <w:r w:rsidRPr="00257670">
        <w:rPr>
          <w:rFonts w:ascii="Times New Roman" w:hAnsi="Times New Roman" w:cs="Times New Roman"/>
          <w:lang w:val="en-GB"/>
        </w:rPr>
        <w:t xml:space="preserve"> anniversary, study visits, joint events), </w:t>
      </w:r>
      <w:r w:rsidR="00257670" w:rsidRPr="00257670">
        <w:rPr>
          <w:rFonts w:ascii="Times New Roman" w:hAnsi="Times New Roman" w:cs="Times New Roman"/>
          <w:lang w:val="en-GB"/>
        </w:rPr>
        <w:br/>
      </w:r>
      <w:r w:rsidR="00257670" w:rsidRPr="00257670">
        <w:rPr>
          <w:rFonts w:ascii="Times New Roman" w:hAnsi="Times New Roman" w:cs="Times New Roman"/>
          <w:u w:val="single"/>
          <w:lang w:val="en-GB"/>
        </w:rPr>
        <w:t>Financial and work time implications</w:t>
      </w:r>
      <w:r w:rsidR="00257670" w:rsidRPr="00257670">
        <w:rPr>
          <w:rFonts w:ascii="Times New Roman" w:hAnsi="Times New Roman" w:cs="Times New Roman"/>
          <w:lang w:val="en-GB"/>
        </w:rPr>
        <w:t>: With the allocated budget a</w:t>
      </w:r>
      <w:r w:rsidR="00C91018">
        <w:rPr>
          <w:rFonts w:ascii="Times New Roman" w:hAnsi="Times New Roman" w:cs="Times New Roman"/>
          <w:lang w:val="en-GB"/>
        </w:rPr>
        <w:t xml:space="preserve">nd work hours (cooperation within the allocated budget </w:t>
      </w:r>
      <w:r w:rsidR="00257670" w:rsidRPr="00257670">
        <w:rPr>
          <w:rFonts w:ascii="Times New Roman" w:hAnsi="Times New Roman" w:cs="Times New Roman"/>
          <w:lang w:val="en-GB"/>
        </w:rPr>
        <w:t>and PROWAD LINK budget</w:t>
      </w:r>
      <w:r w:rsidR="00C91018">
        <w:rPr>
          <w:rFonts w:ascii="Times New Roman" w:hAnsi="Times New Roman" w:cs="Times New Roman"/>
          <w:lang w:val="en-GB"/>
        </w:rPr>
        <w:t>)</w:t>
      </w:r>
      <w:r w:rsidR="00257670" w:rsidRPr="00257670">
        <w:rPr>
          <w:rFonts w:ascii="Times New Roman" w:hAnsi="Times New Roman" w:cs="Times New Roman"/>
          <w:lang w:val="en-GB"/>
        </w:rPr>
        <w:t xml:space="preserve">. </w:t>
      </w:r>
      <w:r w:rsidR="00C91018">
        <w:rPr>
          <w:rFonts w:ascii="Times New Roman" w:hAnsi="Times New Roman" w:cs="Times New Roman"/>
          <w:lang w:val="en-GB"/>
        </w:rPr>
        <w:br/>
      </w:r>
    </w:p>
    <w:p w:rsidR="00D9754E" w:rsidRPr="00257670" w:rsidRDefault="00D9754E" w:rsidP="00257670">
      <w:pPr>
        <w:pStyle w:val="Listenabsatz"/>
        <w:numPr>
          <w:ilvl w:val="0"/>
          <w:numId w:val="24"/>
        </w:numPr>
        <w:tabs>
          <w:tab w:val="left" w:pos="360"/>
        </w:tabs>
        <w:spacing w:after="120"/>
        <w:ind w:left="714" w:hanging="357"/>
        <w:rPr>
          <w:rFonts w:ascii="Times New Roman" w:hAnsi="Times New Roman" w:cs="Times New Roman"/>
          <w:lang w:val="en-GB"/>
        </w:rPr>
      </w:pPr>
      <w:r w:rsidRPr="00D9754E">
        <w:rPr>
          <w:rFonts w:ascii="Times New Roman" w:hAnsi="Times New Roman" w:cs="Times New Roman"/>
          <w:lang w:val="en-GB"/>
        </w:rPr>
        <w:t>To postpone the decision on a</w:t>
      </w:r>
      <w:r w:rsidR="00451CFF">
        <w:rPr>
          <w:rFonts w:ascii="Times New Roman" w:hAnsi="Times New Roman" w:cs="Times New Roman"/>
          <w:lang w:val="en-GB"/>
        </w:rPr>
        <w:t>n</w:t>
      </w:r>
      <w:r w:rsidRPr="00D9754E">
        <w:rPr>
          <w:rFonts w:ascii="Times New Roman" w:hAnsi="Times New Roman" w:cs="Times New Roman"/>
          <w:lang w:val="en-GB"/>
        </w:rPr>
        <w:t xml:space="preserve"> MoU to a later stage taking into account the results of the TWSC review process, with reference to the analysis of existing workloads and resource limits. </w:t>
      </w:r>
      <w:r w:rsidR="00257670">
        <w:rPr>
          <w:rFonts w:ascii="Times New Roman" w:hAnsi="Times New Roman" w:cs="Times New Roman"/>
          <w:lang w:val="en-GB"/>
        </w:rPr>
        <w:br/>
      </w:r>
      <w:r w:rsidR="00257670" w:rsidRPr="00257670">
        <w:rPr>
          <w:rFonts w:ascii="Times New Roman" w:hAnsi="Times New Roman" w:cs="Times New Roman"/>
          <w:u w:val="single"/>
          <w:lang w:val="en-GB"/>
        </w:rPr>
        <w:t>Financial and work time implications</w:t>
      </w:r>
      <w:r w:rsidR="00257670" w:rsidRPr="00257670">
        <w:rPr>
          <w:rFonts w:ascii="Times New Roman" w:hAnsi="Times New Roman" w:cs="Times New Roman"/>
          <w:lang w:val="en-GB"/>
        </w:rPr>
        <w:t xml:space="preserve">: </w:t>
      </w:r>
      <w:r w:rsidR="00257670">
        <w:rPr>
          <w:rFonts w:ascii="Times New Roman" w:hAnsi="Times New Roman" w:cs="Times New Roman"/>
          <w:lang w:val="en-GB"/>
        </w:rPr>
        <w:t>None.</w:t>
      </w:r>
    </w:p>
    <w:p w:rsidR="00D9754E" w:rsidRPr="00D9754E" w:rsidRDefault="00D9754E" w:rsidP="00D9754E">
      <w:pPr>
        <w:spacing w:after="120" w:line="276" w:lineRule="auto"/>
        <w:jc w:val="both"/>
        <w:rPr>
          <w:sz w:val="22"/>
          <w:szCs w:val="22"/>
          <w:lang w:val="en-GB"/>
        </w:rPr>
      </w:pPr>
    </w:p>
    <w:p w:rsidR="00D9754E" w:rsidRPr="00D9754E" w:rsidRDefault="00D9754E" w:rsidP="00D9754E">
      <w:pPr>
        <w:jc w:val="both"/>
        <w:rPr>
          <w:rFonts w:ascii="Arial" w:hAnsi="Arial" w:cs="Arial"/>
          <w:sz w:val="20"/>
          <w:szCs w:val="20"/>
          <w:lang w:val="en-GB"/>
        </w:rPr>
      </w:pPr>
    </w:p>
    <w:p w:rsidR="00D9754E" w:rsidRPr="00D9754E" w:rsidRDefault="00D9754E" w:rsidP="00884A64">
      <w:pPr>
        <w:spacing w:after="120" w:line="276" w:lineRule="auto"/>
        <w:rPr>
          <w:sz w:val="22"/>
          <w:szCs w:val="22"/>
          <w:lang w:val="en-GB"/>
        </w:rPr>
        <w:sectPr w:rsidR="00D9754E" w:rsidRPr="00D9754E" w:rsidSect="001C042F">
          <w:headerReference w:type="even" r:id="rId12"/>
          <w:headerReference w:type="default" r:id="rId13"/>
          <w:footerReference w:type="even" r:id="rId14"/>
          <w:footerReference w:type="default" r:id="rId15"/>
          <w:headerReference w:type="first" r:id="rId16"/>
          <w:footerReference w:type="first" r:id="rId17"/>
          <w:pgSz w:w="11907" w:h="16840" w:code="9"/>
          <w:pgMar w:top="1440" w:right="1797" w:bottom="1440" w:left="1797" w:header="709" w:footer="709" w:gutter="0"/>
          <w:cols w:space="708"/>
          <w:titlePg/>
          <w:docGrid w:linePitch="360"/>
        </w:sectPr>
      </w:pPr>
    </w:p>
    <w:p w:rsidR="00D9754E" w:rsidRPr="00D9754E" w:rsidRDefault="00D9754E" w:rsidP="00D9754E">
      <w:pPr>
        <w:tabs>
          <w:tab w:val="left" w:pos="360"/>
        </w:tabs>
        <w:rPr>
          <w:rFonts w:ascii="Arial" w:hAnsi="Arial" w:cs="Arial"/>
          <w:b/>
          <w:sz w:val="20"/>
          <w:szCs w:val="20"/>
          <w:lang w:val="en-GB"/>
        </w:rPr>
      </w:pPr>
      <w:r w:rsidRPr="00D9754E">
        <w:rPr>
          <w:rFonts w:ascii="Arial" w:hAnsi="Arial" w:cs="Arial"/>
          <w:b/>
          <w:sz w:val="20"/>
          <w:szCs w:val="20"/>
          <w:lang w:val="en-GB"/>
        </w:rPr>
        <w:lastRenderedPageBreak/>
        <w:t>Table 1: Potential WH sites for conclusion of a MoU</w:t>
      </w:r>
    </w:p>
    <w:p w:rsidR="00D9754E" w:rsidRPr="00D9754E" w:rsidRDefault="00D9754E" w:rsidP="00D9754E">
      <w:pPr>
        <w:tabs>
          <w:tab w:val="left" w:pos="360"/>
        </w:tabs>
        <w:rPr>
          <w:rFonts w:ascii="Arial" w:hAnsi="Arial" w:cs="Arial"/>
          <w:sz w:val="18"/>
          <w:szCs w:val="18"/>
          <w:lang w:val="en-GB"/>
        </w:rPr>
      </w:pPr>
      <w:r w:rsidRPr="00D9754E">
        <w:rPr>
          <w:rFonts w:ascii="Arial" w:hAnsi="Arial" w:cs="Arial"/>
          <w:sz w:val="18"/>
          <w:szCs w:val="18"/>
          <w:lang w:val="en-GB"/>
        </w:rPr>
        <w:t>* Inscription criteria:  vii: natural phenomena and exceptional beauty, viii: geology/geological processes, ix: ecological processes, x: biodiversity</w:t>
      </w:r>
    </w:p>
    <w:p w:rsidR="00D9754E" w:rsidRPr="00D9754E" w:rsidRDefault="00D9754E" w:rsidP="00D9754E">
      <w:pPr>
        <w:tabs>
          <w:tab w:val="left" w:pos="360"/>
        </w:tabs>
        <w:rPr>
          <w:rFonts w:ascii="Arial" w:hAnsi="Arial" w:cs="Arial"/>
          <w:sz w:val="18"/>
          <w:szCs w:val="18"/>
          <w:lang w:val="en-GB"/>
        </w:rPr>
      </w:pPr>
    </w:p>
    <w:tbl>
      <w:tblPr>
        <w:tblW w:w="14030" w:type="dxa"/>
        <w:tblInd w:w="70" w:type="dxa"/>
        <w:tblCellMar>
          <w:left w:w="70" w:type="dxa"/>
          <w:right w:w="70" w:type="dxa"/>
        </w:tblCellMar>
        <w:tblLook w:val="04A0" w:firstRow="1" w:lastRow="0" w:firstColumn="1" w:lastColumn="0" w:noHBand="0" w:noVBand="1"/>
      </w:tblPr>
      <w:tblGrid>
        <w:gridCol w:w="247"/>
        <w:gridCol w:w="1733"/>
        <w:gridCol w:w="3260"/>
        <w:gridCol w:w="4119"/>
        <w:gridCol w:w="2835"/>
        <w:gridCol w:w="1836"/>
      </w:tblGrid>
      <w:tr w:rsidR="00067847" w:rsidRPr="00D9754E" w:rsidTr="00C91018">
        <w:trPr>
          <w:trHeight w:val="244"/>
          <w:tblHeader/>
        </w:trPr>
        <w:tc>
          <w:tcPr>
            <w:tcW w:w="247" w:type="dxa"/>
            <w:tcBorders>
              <w:top w:val="single" w:sz="4" w:space="0" w:color="auto"/>
              <w:left w:val="single" w:sz="4" w:space="0" w:color="auto"/>
              <w:bottom w:val="single" w:sz="4" w:space="0" w:color="auto"/>
              <w:right w:val="single" w:sz="4" w:space="0" w:color="auto"/>
            </w:tcBorders>
            <w:vAlign w:val="bottom"/>
          </w:tcPr>
          <w:p w:rsidR="00067847" w:rsidRPr="00D9754E" w:rsidRDefault="00067847" w:rsidP="00C33BAB">
            <w:pPr>
              <w:rPr>
                <w:rFonts w:ascii="Calibri" w:hAnsi="Calibri" w:cs="Calibri"/>
                <w:b/>
                <w:bCs/>
                <w:color w:val="000000"/>
                <w:sz w:val="18"/>
                <w:szCs w:val="18"/>
                <w:lang w:val="en-GB" w:eastAsia="de-DE"/>
              </w:rPr>
            </w:pPr>
          </w:p>
        </w:tc>
        <w:tc>
          <w:tcPr>
            <w:tcW w:w="17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847" w:rsidRPr="00D9754E" w:rsidRDefault="00067847" w:rsidP="00C33BAB">
            <w:pPr>
              <w:jc w:val="both"/>
              <w:rPr>
                <w:rFonts w:ascii="Calibri" w:hAnsi="Calibri" w:cs="Calibri"/>
                <w:b/>
                <w:bCs/>
                <w:color w:val="000000"/>
                <w:sz w:val="18"/>
                <w:szCs w:val="18"/>
                <w:lang w:val="en-GB" w:eastAsia="de-DE"/>
              </w:rPr>
            </w:pPr>
            <w:r w:rsidRPr="00D9754E">
              <w:rPr>
                <w:rFonts w:ascii="Calibri" w:hAnsi="Calibri" w:cs="Calibri"/>
                <w:b/>
                <w:bCs/>
                <w:color w:val="000000"/>
                <w:sz w:val="18"/>
                <w:szCs w:val="18"/>
                <w:lang w:val="en-GB" w:eastAsia="de-DE"/>
              </w:rPr>
              <w:t>Country</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847" w:rsidRPr="00D9754E" w:rsidRDefault="00067847" w:rsidP="00C33BAB">
            <w:pPr>
              <w:jc w:val="both"/>
              <w:rPr>
                <w:rFonts w:ascii="Calibri" w:hAnsi="Calibri" w:cs="Calibri"/>
                <w:b/>
                <w:bCs/>
                <w:color w:val="000000"/>
                <w:sz w:val="18"/>
                <w:szCs w:val="18"/>
                <w:lang w:val="en-GB" w:eastAsia="de-DE"/>
              </w:rPr>
            </w:pPr>
            <w:r w:rsidRPr="00D9754E">
              <w:rPr>
                <w:rFonts w:ascii="Calibri" w:hAnsi="Calibri" w:cs="Calibri"/>
                <w:b/>
                <w:bCs/>
                <w:color w:val="000000"/>
                <w:sz w:val="18"/>
                <w:szCs w:val="18"/>
                <w:lang w:val="en-GB" w:eastAsia="de-DE"/>
              </w:rPr>
              <w:t>WH Site</w:t>
            </w:r>
          </w:p>
        </w:tc>
        <w:tc>
          <w:tcPr>
            <w:tcW w:w="4119" w:type="dxa"/>
            <w:tcBorders>
              <w:top w:val="single" w:sz="4" w:space="0" w:color="auto"/>
              <w:left w:val="single" w:sz="4" w:space="0" w:color="auto"/>
              <w:bottom w:val="single" w:sz="4" w:space="0" w:color="auto"/>
              <w:right w:val="single" w:sz="4" w:space="0" w:color="auto"/>
            </w:tcBorders>
            <w:vAlign w:val="bottom"/>
          </w:tcPr>
          <w:p w:rsidR="00067847" w:rsidRPr="00D9754E" w:rsidRDefault="00067847" w:rsidP="00C33BAB">
            <w:pPr>
              <w:jc w:val="both"/>
              <w:rPr>
                <w:rFonts w:ascii="Calibri" w:hAnsi="Calibri" w:cs="Calibri"/>
                <w:b/>
                <w:bCs/>
                <w:color w:val="000000"/>
                <w:sz w:val="18"/>
                <w:szCs w:val="18"/>
                <w:lang w:val="en-GB" w:eastAsia="de-DE"/>
              </w:rPr>
            </w:pPr>
            <w:r w:rsidRPr="00D9754E">
              <w:rPr>
                <w:rFonts w:ascii="Calibri" w:hAnsi="Calibri" w:cs="Calibri"/>
                <w:b/>
                <w:bCs/>
                <w:color w:val="000000"/>
                <w:sz w:val="18"/>
                <w:szCs w:val="18"/>
                <w:lang w:val="en-GB" w:eastAsia="de-DE"/>
              </w:rPr>
              <w:t>Benefits</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67847" w:rsidRPr="00D9754E" w:rsidRDefault="00067847" w:rsidP="00C33BAB">
            <w:pPr>
              <w:jc w:val="both"/>
              <w:rPr>
                <w:rFonts w:ascii="Calibri" w:hAnsi="Calibri" w:cs="Calibri"/>
                <w:b/>
                <w:bCs/>
                <w:color w:val="000000"/>
                <w:sz w:val="18"/>
                <w:szCs w:val="18"/>
                <w:lang w:val="en-GB" w:eastAsia="de-DE"/>
              </w:rPr>
            </w:pPr>
            <w:r w:rsidRPr="00D9754E">
              <w:rPr>
                <w:rFonts w:ascii="Calibri" w:hAnsi="Calibri" w:cs="Calibri"/>
                <w:b/>
                <w:bCs/>
                <w:color w:val="000000"/>
                <w:sz w:val="18"/>
                <w:szCs w:val="18"/>
                <w:lang w:val="en-GB" w:eastAsia="de-DE"/>
              </w:rPr>
              <w:t xml:space="preserve">Ongoing Cooperation </w:t>
            </w:r>
          </w:p>
        </w:tc>
        <w:tc>
          <w:tcPr>
            <w:tcW w:w="1836" w:type="dxa"/>
            <w:tcBorders>
              <w:top w:val="single" w:sz="4" w:space="0" w:color="auto"/>
              <w:left w:val="single" w:sz="4" w:space="0" w:color="auto"/>
              <w:bottom w:val="single" w:sz="4" w:space="0" w:color="auto"/>
              <w:right w:val="single" w:sz="4" w:space="0" w:color="auto"/>
            </w:tcBorders>
          </w:tcPr>
          <w:p w:rsidR="00067847" w:rsidRPr="00D9754E" w:rsidRDefault="00067847" w:rsidP="00C33BAB">
            <w:pPr>
              <w:jc w:val="both"/>
              <w:rPr>
                <w:rFonts w:ascii="Calibri" w:hAnsi="Calibri" w:cs="Calibri"/>
                <w:b/>
                <w:bCs/>
                <w:color w:val="000000"/>
                <w:sz w:val="18"/>
                <w:szCs w:val="18"/>
                <w:lang w:val="en-GB" w:eastAsia="de-DE"/>
              </w:rPr>
            </w:pPr>
            <w:r>
              <w:rPr>
                <w:rFonts w:ascii="Calibri" w:hAnsi="Calibri" w:cs="Calibri"/>
                <w:b/>
                <w:bCs/>
                <w:color w:val="000000"/>
                <w:sz w:val="18"/>
                <w:szCs w:val="18"/>
                <w:lang w:val="en-GB" w:eastAsia="de-DE"/>
              </w:rPr>
              <w:t>Financial and work time implications</w:t>
            </w:r>
          </w:p>
        </w:tc>
      </w:tr>
      <w:tr w:rsidR="00067847" w:rsidRPr="00D9754E" w:rsidTr="00067847">
        <w:trPr>
          <w:trHeight w:val="257"/>
        </w:trPr>
        <w:tc>
          <w:tcPr>
            <w:tcW w:w="247" w:type="dxa"/>
            <w:tcBorders>
              <w:top w:val="single" w:sz="4" w:space="0" w:color="auto"/>
              <w:left w:val="single" w:sz="4" w:space="0" w:color="auto"/>
              <w:bottom w:val="single" w:sz="4" w:space="0" w:color="auto"/>
              <w:right w:val="single" w:sz="4" w:space="0" w:color="auto"/>
            </w:tcBorders>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1</w:t>
            </w:r>
          </w:p>
        </w:tc>
        <w:tc>
          <w:tcPr>
            <w:tcW w:w="1733" w:type="dxa"/>
            <w:tcBorders>
              <w:top w:val="single" w:sz="4" w:space="0" w:color="auto"/>
              <w:left w:val="single" w:sz="4" w:space="0" w:color="auto"/>
              <w:bottom w:val="single" w:sz="4" w:space="0" w:color="auto"/>
              <w:right w:val="single" w:sz="4" w:space="0" w:color="auto"/>
            </w:tcBorders>
            <w:shd w:val="clear" w:color="auto" w:fill="auto"/>
            <w:noWrap/>
            <w:hideMark/>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Finland / Sweden</w:t>
            </w:r>
          </w:p>
        </w:tc>
        <w:tc>
          <w:tcPr>
            <w:tcW w:w="3260" w:type="dxa"/>
            <w:tcBorders>
              <w:top w:val="single" w:sz="4" w:space="0" w:color="auto"/>
              <w:left w:val="nil"/>
              <w:bottom w:val="single" w:sz="4" w:space="0" w:color="auto"/>
              <w:right w:val="single" w:sz="4" w:space="0" w:color="auto"/>
            </w:tcBorders>
            <w:shd w:val="clear" w:color="auto" w:fill="auto"/>
            <w:noWrap/>
            <w:hideMark/>
          </w:tcPr>
          <w:p w:rsidR="00067847" w:rsidRPr="00D9754E" w:rsidRDefault="008238FC" w:rsidP="00C33BAB">
            <w:pPr>
              <w:ind w:left="72"/>
              <w:rPr>
                <w:rFonts w:ascii="Arial" w:hAnsi="Arial" w:cs="Arial"/>
                <w:color w:val="0000FF"/>
                <w:sz w:val="18"/>
                <w:szCs w:val="18"/>
                <w:u w:val="single"/>
                <w:lang w:val="en-GB" w:eastAsia="de-DE"/>
              </w:rPr>
            </w:pPr>
            <w:hyperlink r:id="rId18" w:history="1">
              <w:r w:rsidR="00067847" w:rsidRPr="00D9754E">
                <w:rPr>
                  <w:rFonts w:ascii="Arial" w:hAnsi="Arial" w:cs="Arial"/>
                  <w:color w:val="0000FF"/>
                  <w:sz w:val="18"/>
                  <w:szCs w:val="18"/>
                  <w:u w:val="single"/>
                  <w:lang w:val="en-GB" w:eastAsia="de-DE"/>
                </w:rPr>
                <w:t>High Coast / Kvarken Archipelago (transboundary site)</w:t>
              </w:r>
            </w:hyperlink>
            <w:r w:rsidR="00067847" w:rsidRPr="00D9754E">
              <w:rPr>
                <w:rFonts w:ascii="Arial" w:hAnsi="Arial" w:cs="Arial"/>
                <w:color w:val="0000FF"/>
                <w:sz w:val="18"/>
                <w:szCs w:val="18"/>
                <w:u w:val="single"/>
                <w:lang w:val="en-GB" w:eastAsia="de-DE"/>
              </w:rPr>
              <w:t xml:space="preserve"> (criteria viii)*</w:t>
            </w:r>
          </w:p>
        </w:tc>
        <w:tc>
          <w:tcPr>
            <w:tcW w:w="4119" w:type="dxa"/>
            <w:tcBorders>
              <w:top w:val="single" w:sz="4" w:space="0" w:color="auto"/>
              <w:left w:val="single" w:sz="4" w:space="0" w:color="auto"/>
              <w:bottom w:val="single" w:sz="4" w:space="0" w:color="auto"/>
              <w:right w:val="single" w:sz="4" w:space="0" w:color="auto"/>
            </w:tcBorders>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of international profile.</w:t>
            </w:r>
          </w:p>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Mutual learning: Site has long-standing experience in nature conservation, management, visitor guidance system, cooperation with local stakeholders which can be adapted to the Wadden Sea (STS action plan, business cooperation, economic valuation of WH brand). Support of WSWH to deal with challenges in transboundary cooperation and management (the only other transboundary marine site in Europe)</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WH Marine Programme.</w:t>
            </w:r>
          </w:p>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Participates in PROWAD LINK as network partner.</w:t>
            </w:r>
          </w:p>
        </w:tc>
        <w:tc>
          <w:tcPr>
            <w:tcW w:w="1836" w:type="dxa"/>
            <w:tcBorders>
              <w:top w:val="single" w:sz="4" w:space="0" w:color="auto"/>
              <w:left w:val="single" w:sz="4" w:space="0" w:color="auto"/>
              <w:bottom w:val="single" w:sz="4" w:space="0" w:color="auto"/>
              <w:right w:val="single" w:sz="4" w:space="0" w:color="auto"/>
            </w:tcBorders>
          </w:tcPr>
          <w:p w:rsidR="00C37D64" w:rsidRPr="00C37D64" w:rsidRDefault="00C37D64" w:rsidP="00C91018">
            <w:pPr>
              <w:rPr>
                <w:rFonts w:ascii="Arial" w:hAnsi="Arial" w:cs="Arial"/>
                <w:color w:val="000000"/>
                <w:sz w:val="18"/>
                <w:szCs w:val="18"/>
                <w:lang w:val="en-GB" w:eastAsia="de-DE"/>
              </w:rPr>
            </w:pPr>
            <w:r w:rsidRPr="00C37D64">
              <w:rPr>
                <w:rFonts w:ascii="Arial" w:hAnsi="Arial" w:cs="Arial"/>
                <w:color w:val="000000"/>
                <w:sz w:val="18"/>
                <w:szCs w:val="18"/>
                <w:lang w:val="en-GB" w:eastAsia="de-DE"/>
              </w:rPr>
              <w:t>Within the allocated budget and work hours (cooperation with WH marine p</w:t>
            </w:r>
            <w:r w:rsidR="00C91018">
              <w:rPr>
                <w:rFonts w:ascii="Arial" w:hAnsi="Arial" w:cs="Arial"/>
                <w:color w:val="000000"/>
                <w:sz w:val="18"/>
                <w:szCs w:val="18"/>
                <w:lang w:val="en-GB" w:eastAsia="de-DE"/>
              </w:rPr>
              <w:t>rogramme and PROWAD LINK budget)</w:t>
            </w:r>
            <w:r w:rsidRPr="00C37D64">
              <w:rPr>
                <w:rFonts w:ascii="Arial" w:hAnsi="Arial" w:cs="Arial"/>
                <w:color w:val="000000"/>
                <w:sz w:val="18"/>
                <w:szCs w:val="18"/>
                <w:lang w:val="en-GB" w:eastAsia="de-DE"/>
              </w:rPr>
              <w:t xml:space="preserve"> </w:t>
            </w:r>
          </w:p>
          <w:p w:rsidR="00067847" w:rsidRPr="00D9754E" w:rsidRDefault="00067847" w:rsidP="00C91018">
            <w:pPr>
              <w:rPr>
                <w:rFonts w:ascii="Arial" w:hAnsi="Arial" w:cs="Arial"/>
                <w:color w:val="000000"/>
                <w:sz w:val="18"/>
                <w:szCs w:val="18"/>
                <w:lang w:val="en-GB" w:eastAsia="de-DE"/>
              </w:rPr>
            </w:pPr>
          </w:p>
        </w:tc>
      </w:tr>
      <w:tr w:rsidR="00067847" w:rsidRPr="00D9754E" w:rsidTr="00067847">
        <w:trPr>
          <w:trHeight w:val="413"/>
        </w:trPr>
        <w:tc>
          <w:tcPr>
            <w:tcW w:w="247" w:type="dxa"/>
            <w:tcBorders>
              <w:top w:val="nil"/>
              <w:left w:val="single" w:sz="4" w:space="0" w:color="auto"/>
              <w:bottom w:val="single" w:sz="4" w:space="0" w:color="auto"/>
              <w:right w:val="single" w:sz="4" w:space="0" w:color="auto"/>
            </w:tcBorders>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2</w:t>
            </w:r>
          </w:p>
        </w:tc>
        <w:tc>
          <w:tcPr>
            <w:tcW w:w="1733" w:type="dxa"/>
            <w:tcBorders>
              <w:top w:val="nil"/>
              <w:left w:val="single" w:sz="4" w:space="0" w:color="auto"/>
              <w:bottom w:val="single" w:sz="4" w:space="0" w:color="auto"/>
              <w:right w:val="single" w:sz="4" w:space="0" w:color="auto"/>
            </w:tcBorders>
            <w:shd w:val="clear" w:color="auto" w:fill="auto"/>
            <w:noWrap/>
            <w:hideMark/>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United Kingdom of Great Britain and Northern Ireland</w:t>
            </w:r>
          </w:p>
        </w:tc>
        <w:tc>
          <w:tcPr>
            <w:tcW w:w="3260" w:type="dxa"/>
            <w:tcBorders>
              <w:top w:val="nil"/>
              <w:left w:val="nil"/>
              <w:bottom w:val="single" w:sz="4" w:space="0" w:color="auto"/>
              <w:right w:val="single" w:sz="4" w:space="0" w:color="auto"/>
            </w:tcBorders>
            <w:shd w:val="clear" w:color="auto" w:fill="auto"/>
            <w:noWrap/>
            <w:hideMark/>
          </w:tcPr>
          <w:p w:rsidR="00067847" w:rsidRPr="00D9754E" w:rsidRDefault="008238FC" w:rsidP="00C33BAB">
            <w:pPr>
              <w:rPr>
                <w:rFonts w:ascii="Arial" w:hAnsi="Arial" w:cs="Arial"/>
                <w:color w:val="0000FF"/>
                <w:sz w:val="18"/>
                <w:szCs w:val="18"/>
                <w:u w:val="single"/>
                <w:lang w:val="en-GB" w:eastAsia="de-DE"/>
              </w:rPr>
            </w:pPr>
            <w:hyperlink r:id="rId19" w:history="1">
              <w:r w:rsidR="00067847" w:rsidRPr="00D9754E">
                <w:rPr>
                  <w:rFonts w:ascii="Arial" w:hAnsi="Arial" w:cs="Arial"/>
                  <w:color w:val="0000FF"/>
                  <w:sz w:val="18"/>
                  <w:szCs w:val="18"/>
                  <w:u w:val="single"/>
                  <w:lang w:val="en-GB" w:eastAsia="de-DE"/>
                </w:rPr>
                <w:t>Dorset and East Devon Coast</w:t>
              </w:r>
            </w:hyperlink>
            <w:r w:rsidR="00067847" w:rsidRPr="00D9754E">
              <w:rPr>
                <w:rFonts w:ascii="Arial" w:hAnsi="Arial" w:cs="Arial"/>
                <w:color w:val="0000FF"/>
                <w:sz w:val="18"/>
                <w:szCs w:val="18"/>
                <w:u w:val="single"/>
                <w:lang w:val="en-GB" w:eastAsia="de-DE"/>
              </w:rPr>
              <w:t xml:space="preserve"> (criteria viii)* (“Jurassic Coast”)</w:t>
            </w:r>
          </w:p>
        </w:tc>
        <w:tc>
          <w:tcPr>
            <w:tcW w:w="4119" w:type="dxa"/>
            <w:tcBorders>
              <w:top w:val="single" w:sz="4" w:space="0" w:color="auto"/>
              <w:left w:val="single" w:sz="4" w:space="0" w:color="auto"/>
              <w:bottom w:val="single" w:sz="4" w:space="0" w:color="auto"/>
              <w:right w:val="single" w:sz="4" w:space="0" w:color="auto"/>
            </w:tcBorders>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of international profile.</w:t>
            </w:r>
          </w:p>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Mutual learning: Site has long experience in OUV management, branding and communication, and working with business sector. Recently transformed into a charity trust which can support WSWH in establishing a foundation and partnership centre.</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Participates in PROWAD LINK as network partner.</w:t>
            </w:r>
          </w:p>
        </w:tc>
        <w:tc>
          <w:tcPr>
            <w:tcW w:w="1836" w:type="dxa"/>
            <w:tcBorders>
              <w:top w:val="single" w:sz="4" w:space="0" w:color="auto"/>
              <w:left w:val="single" w:sz="4" w:space="0" w:color="auto"/>
              <w:bottom w:val="single" w:sz="4" w:space="0" w:color="auto"/>
              <w:right w:val="single" w:sz="4" w:space="0" w:color="auto"/>
            </w:tcBorders>
          </w:tcPr>
          <w:p w:rsidR="00067847" w:rsidRPr="00D9754E" w:rsidRDefault="00C37D64" w:rsidP="00C91018">
            <w:pPr>
              <w:rPr>
                <w:rFonts w:ascii="Arial" w:hAnsi="Arial" w:cs="Arial"/>
                <w:color w:val="000000"/>
                <w:sz w:val="18"/>
                <w:szCs w:val="18"/>
                <w:lang w:val="en-GB" w:eastAsia="de-DE"/>
              </w:rPr>
            </w:pPr>
            <w:r w:rsidRPr="00C37D64">
              <w:rPr>
                <w:rFonts w:ascii="Arial" w:hAnsi="Arial" w:cs="Arial"/>
                <w:color w:val="000000"/>
                <w:sz w:val="18"/>
                <w:szCs w:val="18"/>
                <w:lang w:val="en-GB" w:eastAsia="de-DE"/>
              </w:rPr>
              <w:t>Within the allocated budget and work hours (cooperation with WH marine programme and PROWAD LINK budget</w:t>
            </w:r>
            <w:r w:rsidR="00C91018">
              <w:rPr>
                <w:rFonts w:ascii="Arial" w:hAnsi="Arial" w:cs="Arial"/>
                <w:color w:val="000000"/>
                <w:sz w:val="18"/>
                <w:szCs w:val="18"/>
                <w:lang w:val="en-GB" w:eastAsia="de-DE"/>
              </w:rPr>
              <w:t>)</w:t>
            </w:r>
          </w:p>
        </w:tc>
      </w:tr>
      <w:tr w:rsidR="00067847" w:rsidRPr="00D9754E" w:rsidTr="00067847">
        <w:trPr>
          <w:trHeight w:val="267"/>
        </w:trPr>
        <w:tc>
          <w:tcPr>
            <w:tcW w:w="247" w:type="dxa"/>
            <w:tcBorders>
              <w:top w:val="nil"/>
              <w:left w:val="single" w:sz="4" w:space="0" w:color="auto"/>
              <w:bottom w:val="single" w:sz="4" w:space="0" w:color="auto"/>
              <w:right w:val="single" w:sz="4" w:space="0" w:color="auto"/>
            </w:tcBorders>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3</w:t>
            </w:r>
          </w:p>
        </w:tc>
        <w:tc>
          <w:tcPr>
            <w:tcW w:w="1733" w:type="dxa"/>
            <w:tcBorders>
              <w:top w:val="nil"/>
              <w:left w:val="single" w:sz="4" w:space="0" w:color="auto"/>
              <w:bottom w:val="single" w:sz="4" w:space="0" w:color="auto"/>
              <w:right w:val="single" w:sz="4" w:space="0" w:color="auto"/>
            </w:tcBorders>
            <w:shd w:val="clear" w:color="auto" w:fill="auto"/>
            <w:noWrap/>
            <w:hideMark/>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Norway</w:t>
            </w:r>
          </w:p>
        </w:tc>
        <w:tc>
          <w:tcPr>
            <w:tcW w:w="3260" w:type="dxa"/>
            <w:tcBorders>
              <w:top w:val="nil"/>
              <w:left w:val="nil"/>
              <w:bottom w:val="single" w:sz="4" w:space="0" w:color="auto"/>
              <w:right w:val="single" w:sz="4" w:space="0" w:color="auto"/>
            </w:tcBorders>
            <w:shd w:val="clear" w:color="auto" w:fill="auto"/>
            <w:noWrap/>
            <w:hideMark/>
          </w:tcPr>
          <w:p w:rsidR="00067847" w:rsidRPr="00D9754E" w:rsidRDefault="008238FC" w:rsidP="00C33BAB">
            <w:pPr>
              <w:ind w:left="72"/>
              <w:rPr>
                <w:rFonts w:ascii="Arial" w:hAnsi="Arial" w:cs="Arial"/>
                <w:color w:val="0000FF"/>
                <w:sz w:val="18"/>
                <w:szCs w:val="18"/>
                <w:u w:val="single"/>
                <w:lang w:val="en-GB" w:eastAsia="de-DE"/>
              </w:rPr>
            </w:pPr>
            <w:hyperlink r:id="rId20" w:history="1">
              <w:r w:rsidR="00067847" w:rsidRPr="00D9754E">
                <w:rPr>
                  <w:rFonts w:ascii="Arial" w:hAnsi="Arial" w:cs="Arial"/>
                  <w:color w:val="0000FF"/>
                  <w:sz w:val="18"/>
                  <w:szCs w:val="18"/>
                  <w:u w:val="single"/>
                  <w:lang w:val="en-GB" w:eastAsia="de-DE"/>
                </w:rPr>
                <w:t>West Norwegian Fjords – Geirangerfjord and Nærøyfjord</w:t>
              </w:r>
            </w:hyperlink>
            <w:r w:rsidR="00067847" w:rsidRPr="00D9754E">
              <w:rPr>
                <w:rFonts w:ascii="Arial" w:hAnsi="Arial" w:cs="Arial"/>
                <w:color w:val="0000FF"/>
                <w:sz w:val="18"/>
                <w:szCs w:val="18"/>
                <w:u w:val="single"/>
                <w:lang w:val="en-GB" w:eastAsia="de-DE"/>
              </w:rPr>
              <w:t xml:space="preserve"> (criteria vii, viii)*</w:t>
            </w:r>
          </w:p>
        </w:tc>
        <w:tc>
          <w:tcPr>
            <w:tcW w:w="4119" w:type="dxa"/>
            <w:tcBorders>
              <w:top w:val="single" w:sz="4" w:space="0" w:color="auto"/>
              <w:left w:val="single" w:sz="4" w:space="0" w:color="auto"/>
              <w:bottom w:val="single" w:sz="4" w:space="0" w:color="auto"/>
              <w:right w:val="single" w:sz="4" w:space="0" w:color="auto"/>
            </w:tcBorders>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international profile.</w:t>
            </w:r>
          </w:p>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Exchange on sustainable tourism and business cooperation.</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WH Marine Programme.</w:t>
            </w:r>
          </w:p>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Participates in PROWAD LINK as network partner.</w:t>
            </w:r>
          </w:p>
        </w:tc>
        <w:tc>
          <w:tcPr>
            <w:tcW w:w="1836" w:type="dxa"/>
            <w:tcBorders>
              <w:top w:val="single" w:sz="4" w:space="0" w:color="auto"/>
              <w:left w:val="single" w:sz="4" w:space="0" w:color="auto"/>
              <w:bottom w:val="single" w:sz="4" w:space="0" w:color="auto"/>
              <w:right w:val="single" w:sz="4" w:space="0" w:color="auto"/>
            </w:tcBorders>
          </w:tcPr>
          <w:p w:rsidR="00C91018" w:rsidRPr="00D9754E" w:rsidRDefault="00C37D64" w:rsidP="00C91018">
            <w:pPr>
              <w:rPr>
                <w:rFonts w:ascii="Arial" w:hAnsi="Arial" w:cs="Arial"/>
                <w:color w:val="000000"/>
                <w:sz w:val="18"/>
                <w:szCs w:val="18"/>
                <w:lang w:val="en-GB" w:eastAsia="de-DE"/>
              </w:rPr>
            </w:pPr>
            <w:r w:rsidRPr="00C37D64">
              <w:rPr>
                <w:rFonts w:ascii="Arial" w:hAnsi="Arial" w:cs="Arial"/>
                <w:color w:val="000000"/>
                <w:sz w:val="18"/>
                <w:szCs w:val="18"/>
                <w:lang w:val="en-GB" w:eastAsia="de-DE"/>
              </w:rPr>
              <w:t>Within the allocated budget and work hours (cooperation with WH marine programme and PROWAD LINK budget</w:t>
            </w:r>
            <w:r w:rsidR="00C91018">
              <w:rPr>
                <w:rFonts w:ascii="Arial" w:hAnsi="Arial" w:cs="Arial"/>
                <w:color w:val="000000"/>
                <w:sz w:val="18"/>
                <w:szCs w:val="18"/>
                <w:lang w:val="en-GB" w:eastAsia="de-DE"/>
              </w:rPr>
              <w:t>)</w:t>
            </w:r>
          </w:p>
        </w:tc>
      </w:tr>
      <w:tr w:rsidR="00067847" w:rsidRPr="00D9754E" w:rsidTr="00067847">
        <w:trPr>
          <w:trHeight w:val="50"/>
        </w:trPr>
        <w:tc>
          <w:tcPr>
            <w:tcW w:w="247" w:type="dxa"/>
            <w:tcBorders>
              <w:top w:val="nil"/>
              <w:left w:val="single" w:sz="4" w:space="0" w:color="auto"/>
              <w:bottom w:val="single" w:sz="4" w:space="0" w:color="auto"/>
              <w:right w:val="single" w:sz="4" w:space="0" w:color="auto"/>
            </w:tcBorders>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4</w:t>
            </w:r>
          </w:p>
        </w:tc>
        <w:tc>
          <w:tcPr>
            <w:tcW w:w="1733" w:type="dxa"/>
            <w:tcBorders>
              <w:top w:val="nil"/>
              <w:left w:val="single" w:sz="4" w:space="0" w:color="auto"/>
              <w:bottom w:val="single" w:sz="4" w:space="0" w:color="auto"/>
              <w:right w:val="single" w:sz="4" w:space="0" w:color="auto"/>
            </w:tcBorders>
            <w:shd w:val="clear" w:color="auto" w:fill="auto"/>
            <w:noWrap/>
            <w:hideMark/>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Albania/14 other Euroepan countries</w:t>
            </w:r>
          </w:p>
        </w:tc>
        <w:tc>
          <w:tcPr>
            <w:tcW w:w="3260" w:type="dxa"/>
            <w:tcBorders>
              <w:top w:val="nil"/>
              <w:left w:val="nil"/>
              <w:bottom w:val="single" w:sz="4" w:space="0" w:color="auto"/>
              <w:right w:val="single" w:sz="4" w:space="0" w:color="auto"/>
            </w:tcBorders>
            <w:shd w:val="clear" w:color="auto" w:fill="auto"/>
            <w:noWrap/>
            <w:hideMark/>
          </w:tcPr>
          <w:p w:rsidR="00067847" w:rsidRPr="00D9754E" w:rsidRDefault="008238FC" w:rsidP="00C33BAB">
            <w:pPr>
              <w:ind w:left="72"/>
              <w:rPr>
                <w:rFonts w:ascii="Arial" w:hAnsi="Arial" w:cs="Arial"/>
                <w:color w:val="0000FF"/>
                <w:sz w:val="18"/>
                <w:szCs w:val="18"/>
                <w:u w:val="single"/>
                <w:lang w:val="en-GB" w:eastAsia="de-DE"/>
              </w:rPr>
            </w:pPr>
            <w:hyperlink r:id="rId21" w:history="1">
              <w:r w:rsidR="00067847" w:rsidRPr="00D9754E">
                <w:rPr>
                  <w:rFonts w:ascii="Arial" w:hAnsi="Arial" w:cs="Arial"/>
                  <w:color w:val="0000FF"/>
                  <w:sz w:val="18"/>
                  <w:szCs w:val="18"/>
                  <w:u w:val="single"/>
                  <w:lang w:val="en-GB" w:eastAsia="de-DE"/>
                </w:rPr>
                <w:t>Ancient and Primeval Beech Forests of the Carpathians and Other Regions of Europe (transboundary site)</w:t>
              </w:r>
            </w:hyperlink>
            <w:r w:rsidR="00067847" w:rsidRPr="00D9754E">
              <w:rPr>
                <w:rFonts w:ascii="Arial" w:hAnsi="Arial" w:cs="Arial"/>
                <w:color w:val="0000FF"/>
                <w:sz w:val="18"/>
                <w:szCs w:val="18"/>
                <w:u w:val="single"/>
                <w:lang w:val="en-GB" w:eastAsia="de-DE"/>
              </w:rPr>
              <w:t xml:space="preserve"> (criteria ix)*</w:t>
            </w:r>
          </w:p>
        </w:tc>
        <w:tc>
          <w:tcPr>
            <w:tcW w:w="4119" w:type="dxa"/>
            <w:tcBorders>
              <w:top w:val="single" w:sz="4" w:space="0" w:color="auto"/>
              <w:left w:val="single" w:sz="4" w:space="0" w:color="auto"/>
              <w:bottom w:val="single" w:sz="4" w:space="0" w:color="auto"/>
              <w:right w:val="single" w:sz="4" w:space="0" w:color="auto"/>
            </w:tcBorders>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of international profile.</w:t>
            </w:r>
          </w:p>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Mutual learning: Serial WH site across 15 countries with experience in communication and management of protected sites including visitor guidance and sustainable tourism.</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 xml:space="preserve">Cooperation with German WHS partners. </w:t>
            </w:r>
          </w:p>
        </w:tc>
        <w:tc>
          <w:tcPr>
            <w:tcW w:w="1836" w:type="dxa"/>
            <w:tcBorders>
              <w:top w:val="single" w:sz="4" w:space="0" w:color="auto"/>
              <w:left w:val="single" w:sz="4" w:space="0" w:color="auto"/>
              <w:bottom w:val="single" w:sz="4" w:space="0" w:color="auto"/>
              <w:right w:val="single" w:sz="4" w:space="0" w:color="auto"/>
            </w:tcBorders>
          </w:tcPr>
          <w:p w:rsidR="00067847" w:rsidRPr="00D9754E" w:rsidRDefault="00C37D64" w:rsidP="00C91018">
            <w:pPr>
              <w:rPr>
                <w:rFonts w:ascii="Arial" w:hAnsi="Arial" w:cs="Arial"/>
                <w:color w:val="000000"/>
                <w:sz w:val="18"/>
                <w:szCs w:val="18"/>
                <w:lang w:val="en-GB" w:eastAsia="de-DE"/>
              </w:rPr>
            </w:pPr>
            <w:r>
              <w:rPr>
                <w:rFonts w:ascii="Arial" w:hAnsi="Arial" w:cs="Arial"/>
                <w:color w:val="000000"/>
                <w:sz w:val="18"/>
                <w:szCs w:val="18"/>
                <w:lang w:val="en-GB" w:eastAsia="de-DE"/>
              </w:rPr>
              <w:t>None</w:t>
            </w:r>
          </w:p>
        </w:tc>
      </w:tr>
      <w:tr w:rsidR="00067847" w:rsidRPr="00D9754E" w:rsidTr="00C91018">
        <w:trPr>
          <w:trHeight w:val="50"/>
        </w:trPr>
        <w:tc>
          <w:tcPr>
            <w:tcW w:w="247" w:type="dxa"/>
            <w:tcBorders>
              <w:top w:val="nil"/>
              <w:left w:val="single" w:sz="4" w:space="0" w:color="auto"/>
              <w:bottom w:val="single" w:sz="4" w:space="0" w:color="auto"/>
              <w:right w:val="single" w:sz="4" w:space="0" w:color="auto"/>
            </w:tcBorders>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5</w:t>
            </w:r>
          </w:p>
        </w:tc>
        <w:tc>
          <w:tcPr>
            <w:tcW w:w="1733" w:type="dxa"/>
            <w:tcBorders>
              <w:top w:val="nil"/>
              <w:left w:val="single" w:sz="4" w:space="0" w:color="auto"/>
              <w:bottom w:val="single" w:sz="4" w:space="0" w:color="auto"/>
              <w:right w:val="single" w:sz="4" w:space="0" w:color="auto"/>
            </w:tcBorders>
            <w:shd w:val="clear" w:color="auto" w:fill="auto"/>
            <w:noWrap/>
            <w:hideMark/>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Italy</w:t>
            </w:r>
          </w:p>
        </w:tc>
        <w:tc>
          <w:tcPr>
            <w:tcW w:w="3260" w:type="dxa"/>
            <w:tcBorders>
              <w:top w:val="nil"/>
              <w:left w:val="nil"/>
              <w:bottom w:val="single" w:sz="4" w:space="0" w:color="auto"/>
              <w:right w:val="single" w:sz="4" w:space="0" w:color="auto"/>
            </w:tcBorders>
            <w:shd w:val="clear" w:color="auto" w:fill="auto"/>
            <w:noWrap/>
            <w:hideMark/>
          </w:tcPr>
          <w:p w:rsidR="00067847" w:rsidRPr="00D9754E" w:rsidRDefault="008238FC" w:rsidP="00C33BAB">
            <w:pPr>
              <w:ind w:left="72"/>
              <w:rPr>
                <w:rFonts w:ascii="Arial" w:hAnsi="Arial" w:cs="Arial"/>
                <w:color w:val="0000FF"/>
                <w:sz w:val="18"/>
                <w:szCs w:val="18"/>
                <w:u w:val="single"/>
                <w:lang w:val="en-GB" w:eastAsia="de-DE"/>
              </w:rPr>
            </w:pPr>
            <w:hyperlink r:id="rId22" w:history="1">
              <w:r w:rsidR="00067847" w:rsidRPr="00D9754E">
                <w:rPr>
                  <w:rFonts w:ascii="Arial" w:hAnsi="Arial" w:cs="Arial"/>
                  <w:color w:val="0000FF"/>
                  <w:sz w:val="18"/>
                  <w:szCs w:val="18"/>
                  <w:u w:val="single"/>
                  <w:lang w:val="en-GB" w:eastAsia="de-DE"/>
                </w:rPr>
                <w:t>The Dolomites</w:t>
              </w:r>
            </w:hyperlink>
            <w:r w:rsidR="00067847" w:rsidRPr="00D9754E">
              <w:rPr>
                <w:rFonts w:ascii="Arial" w:hAnsi="Arial" w:cs="Arial"/>
                <w:color w:val="0000FF"/>
                <w:sz w:val="18"/>
                <w:szCs w:val="18"/>
                <w:u w:val="single"/>
                <w:lang w:val="en-GB" w:eastAsia="de-DE"/>
              </w:rPr>
              <w:t xml:space="preserve"> (criteria vii, viii) *</w:t>
            </w:r>
          </w:p>
        </w:tc>
        <w:tc>
          <w:tcPr>
            <w:tcW w:w="4119" w:type="dxa"/>
            <w:tcBorders>
              <w:top w:val="single" w:sz="4" w:space="0" w:color="auto"/>
              <w:left w:val="single" w:sz="4" w:space="0" w:color="auto"/>
              <w:bottom w:val="single" w:sz="4" w:space="0" w:color="auto"/>
              <w:right w:val="single" w:sz="4" w:space="0" w:color="auto"/>
            </w:tcBorders>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of international profile.</w:t>
            </w:r>
          </w:p>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Mutual learning: Support of WSWF to enhance sustainable tourism and stakeholder involvement, and in establishing a cross border foundation in Wadden Sea. High interest and willingness by the site to put resources into MoU cooperation.</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Joint art exhibition at 5</w:t>
            </w:r>
            <w:r w:rsidRPr="00D9754E">
              <w:rPr>
                <w:rFonts w:ascii="Arial" w:hAnsi="Arial" w:cs="Arial"/>
                <w:color w:val="000000"/>
                <w:sz w:val="18"/>
                <w:szCs w:val="18"/>
                <w:vertAlign w:val="superscript"/>
                <w:lang w:val="en-GB" w:eastAsia="de-DE"/>
              </w:rPr>
              <w:t>th</w:t>
            </w:r>
            <w:r w:rsidRPr="00D9754E">
              <w:rPr>
                <w:rFonts w:ascii="Arial" w:hAnsi="Arial" w:cs="Arial"/>
                <w:color w:val="000000"/>
                <w:sz w:val="18"/>
                <w:szCs w:val="18"/>
                <w:lang w:val="en-GB" w:eastAsia="de-DE"/>
              </w:rPr>
              <w:t xml:space="preserve"> anniversary in 2014,</w:t>
            </w:r>
          </w:p>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ITB participation.</w:t>
            </w:r>
          </w:p>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Planning joint 10</w:t>
            </w:r>
            <w:r w:rsidRPr="00D9754E">
              <w:rPr>
                <w:rFonts w:ascii="Arial" w:hAnsi="Arial" w:cs="Arial"/>
                <w:color w:val="000000"/>
                <w:sz w:val="18"/>
                <w:szCs w:val="18"/>
                <w:vertAlign w:val="superscript"/>
                <w:lang w:val="en-GB" w:eastAsia="de-DE"/>
              </w:rPr>
              <w:t>th</w:t>
            </w:r>
            <w:r w:rsidRPr="00D9754E">
              <w:rPr>
                <w:rFonts w:ascii="Arial" w:hAnsi="Arial" w:cs="Arial"/>
                <w:color w:val="000000"/>
                <w:sz w:val="18"/>
                <w:szCs w:val="18"/>
                <w:lang w:val="en-GB" w:eastAsia="de-DE"/>
              </w:rPr>
              <w:t xml:space="preserve"> anniversary in 2019.</w:t>
            </w:r>
          </w:p>
        </w:tc>
        <w:tc>
          <w:tcPr>
            <w:tcW w:w="1836" w:type="dxa"/>
            <w:tcBorders>
              <w:top w:val="single" w:sz="4" w:space="0" w:color="auto"/>
              <w:left w:val="single" w:sz="4" w:space="0" w:color="auto"/>
              <w:bottom w:val="single" w:sz="4" w:space="0" w:color="auto"/>
              <w:right w:val="single" w:sz="4" w:space="0" w:color="auto"/>
            </w:tcBorders>
          </w:tcPr>
          <w:p w:rsidR="00067847" w:rsidRPr="00D9754E" w:rsidRDefault="00C37D64" w:rsidP="00C91018">
            <w:pPr>
              <w:rPr>
                <w:rFonts w:ascii="Arial" w:hAnsi="Arial" w:cs="Arial"/>
                <w:color w:val="000000"/>
                <w:sz w:val="18"/>
                <w:szCs w:val="18"/>
                <w:lang w:val="en-GB" w:eastAsia="de-DE"/>
              </w:rPr>
            </w:pPr>
            <w:r w:rsidRPr="00C37D64">
              <w:rPr>
                <w:rFonts w:ascii="Arial" w:hAnsi="Arial" w:cs="Arial"/>
                <w:color w:val="000000"/>
                <w:sz w:val="18"/>
                <w:szCs w:val="18"/>
                <w:lang w:val="en-GB" w:eastAsia="de-DE"/>
              </w:rPr>
              <w:t xml:space="preserve">Within the allocated budget and work hours (cooperation with </w:t>
            </w:r>
            <w:r w:rsidR="00C91018">
              <w:rPr>
                <w:rFonts w:ascii="Arial" w:hAnsi="Arial" w:cs="Arial"/>
                <w:color w:val="000000"/>
                <w:sz w:val="18"/>
                <w:szCs w:val="18"/>
                <w:lang w:val="en-GB" w:eastAsia="de-DE"/>
              </w:rPr>
              <w:t xml:space="preserve">other </w:t>
            </w:r>
            <w:r w:rsidRPr="00C37D64">
              <w:rPr>
                <w:rFonts w:ascii="Arial" w:hAnsi="Arial" w:cs="Arial"/>
                <w:color w:val="000000"/>
                <w:sz w:val="18"/>
                <w:szCs w:val="18"/>
                <w:lang w:val="en-GB" w:eastAsia="de-DE"/>
              </w:rPr>
              <w:t xml:space="preserve">WH </w:t>
            </w:r>
            <w:r w:rsidR="00C91018">
              <w:rPr>
                <w:rFonts w:ascii="Arial" w:hAnsi="Arial" w:cs="Arial"/>
                <w:color w:val="000000"/>
                <w:sz w:val="18"/>
                <w:szCs w:val="18"/>
                <w:lang w:val="en-GB" w:eastAsia="de-DE"/>
              </w:rPr>
              <w:t>sites</w:t>
            </w:r>
            <w:r w:rsidRPr="00C37D64">
              <w:rPr>
                <w:rFonts w:ascii="Arial" w:hAnsi="Arial" w:cs="Arial"/>
                <w:color w:val="000000"/>
                <w:sz w:val="18"/>
                <w:szCs w:val="18"/>
                <w:lang w:val="en-GB" w:eastAsia="de-DE"/>
              </w:rPr>
              <w:t xml:space="preserve"> and PROWAD LINK budget</w:t>
            </w:r>
            <w:r w:rsidR="00C91018">
              <w:rPr>
                <w:rFonts w:ascii="Arial" w:hAnsi="Arial" w:cs="Arial"/>
                <w:color w:val="000000"/>
                <w:sz w:val="18"/>
                <w:szCs w:val="18"/>
                <w:lang w:val="en-GB" w:eastAsia="de-DE"/>
              </w:rPr>
              <w:t>)</w:t>
            </w:r>
          </w:p>
        </w:tc>
      </w:tr>
      <w:tr w:rsidR="00067847" w:rsidRPr="00D9754E" w:rsidTr="00C91018">
        <w:trPr>
          <w:trHeight w:val="50"/>
        </w:trPr>
        <w:tc>
          <w:tcPr>
            <w:tcW w:w="247" w:type="dxa"/>
            <w:tcBorders>
              <w:top w:val="single" w:sz="4" w:space="0" w:color="auto"/>
              <w:left w:val="single" w:sz="4" w:space="0" w:color="auto"/>
              <w:bottom w:val="single" w:sz="4" w:space="0" w:color="auto"/>
              <w:right w:val="single" w:sz="4" w:space="0" w:color="auto"/>
            </w:tcBorders>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lastRenderedPageBreak/>
              <w:t>6</w:t>
            </w:r>
          </w:p>
        </w:tc>
        <w:tc>
          <w:tcPr>
            <w:tcW w:w="1733" w:type="dxa"/>
            <w:tcBorders>
              <w:top w:val="single" w:sz="4" w:space="0" w:color="auto"/>
              <w:left w:val="single" w:sz="4" w:space="0" w:color="auto"/>
              <w:bottom w:val="single" w:sz="4" w:space="0" w:color="auto"/>
              <w:right w:val="single" w:sz="4" w:space="0" w:color="auto"/>
            </w:tcBorders>
            <w:shd w:val="clear" w:color="auto" w:fill="auto"/>
            <w:noWrap/>
            <w:hideMark/>
          </w:tcPr>
          <w:p w:rsidR="00067847" w:rsidRPr="00D9754E" w:rsidRDefault="00067847" w:rsidP="00C33BAB">
            <w:pPr>
              <w:rPr>
                <w:rFonts w:ascii="Arial" w:hAnsi="Arial" w:cs="Arial"/>
                <w:b/>
                <w:bCs/>
                <w:color w:val="000000"/>
                <w:sz w:val="18"/>
                <w:szCs w:val="18"/>
                <w:lang w:val="en-GB" w:eastAsia="de-DE"/>
              </w:rPr>
            </w:pPr>
            <w:r w:rsidRPr="00D9754E">
              <w:rPr>
                <w:rFonts w:ascii="Arial" w:hAnsi="Arial" w:cs="Arial"/>
                <w:b/>
                <w:bCs/>
                <w:color w:val="000000"/>
                <w:sz w:val="18"/>
                <w:szCs w:val="18"/>
                <w:lang w:val="en-GB" w:eastAsia="de-DE"/>
              </w:rPr>
              <w:t>Australia</w:t>
            </w:r>
          </w:p>
        </w:tc>
        <w:tc>
          <w:tcPr>
            <w:tcW w:w="3260" w:type="dxa"/>
            <w:tcBorders>
              <w:top w:val="single" w:sz="4" w:space="0" w:color="auto"/>
              <w:left w:val="nil"/>
              <w:bottom w:val="single" w:sz="4" w:space="0" w:color="auto"/>
              <w:right w:val="single" w:sz="4" w:space="0" w:color="auto"/>
            </w:tcBorders>
            <w:shd w:val="clear" w:color="auto" w:fill="auto"/>
            <w:noWrap/>
            <w:hideMark/>
          </w:tcPr>
          <w:p w:rsidR="00067847" w:rsidRPr="00D9754E" w:rsidRDefault="008238FC" w:rsidP="00C33BAB">
            <w:pPr>
              <w:ind w:left="72"/>
              <w:rPr>
                <w:rFonts w:ascii="Arial" w:hAnsi="Arial" w:cs="Arial"/>
                <w:color w:val="0000FF"/>
                <w:sz w:val="18"/>
                <w:szCs w:val="18"/>
                <w:u w:val="single"/>
                <w:lang w:val="en-GB" w:eastAsia="de-DE"/>
              </w:rPr>
            </w:pPr>
            <w:hyperlink r:id="rId23" w:history="1">
              <w:r w:rsidR="00067847" w:rsidRPr="00D9754E">
                <w:rPr>
                  <w:rFonts w:ascii="Arial" w:hAnsi="Arial" w:cs="Arial"/>
                  <w:color w:val="0000FF"/>
                  <w:sz w:val="18"/>
                  <w:szCs w:val="18"/>
                  <w:u w:val="single"/>
                  <w:lang w:val="en-GB" w:eastAsia="de-DE"/>
                </w:rPr>
                <w:t>Great Barrier Reef</w:t>
              </w:r>
            </w:hyperlink>
            <w:r w:rsidR="00067847" w:rsidRPr="00D9754E">
              <w:rPr>
                <w:rFonts w:ascii="Arial" w:hAnsi="Arial" w:cs="Arial"/>
                <w:color w:val="0000FF"/>
                <w:sz w:val="18"/>
                <w:szCs w:val="18"/>
                <w:u w:val="single"/>
                <w:lang w:val="en-GB" w:eastAsia="de-DE"/>
              </w:rPr>
              <w:t xml:space="preserve"> </w:t>
            </w:r>
            <w:r w:rsidR="00067847" w:rsidRPr="00D9754E">
              <w:rPr>
                <w:rFonts w:ascii="Arial" w:hAnsi="Arial" w:cs="Arial"/>
                <w:color w:val="0000FF"/>
                <w:sz w:val="18"/>
                <w:szCs w:val="18"/>
                <w:u w:val="single"/>
                <w:lang w:val="en-GB" w:eastAsia="de-DE"/>
              </w:rPr>
              <w:br/>
              <w:t>(criteria vii, viii, ix, x) *</w:t>
            </w:r>
          </w:p>
        </w:tc>
        <w:tc>
          <w:tcPr>
            <w:tcW w:w="4119" w:type="dxa"/>
            <w:tcBorders>
              <w:top w:val="single" w:sz="4" w:space="0" w:color="auto"/>
              <w:left w:val="single" w:sz="4" w:space="0" w:color="auto"/>
              <w:bottom w:val="single" w:sz="4" w:space="0" w:color="auto"/>
              <w:right w:val="single" w:sz="4" w:space="0" w:color="auto"/>
            </w:tcBorders>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Enhancing of international profile and</w:t>
            </w:r>
          </w:p>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Mutual learning: Site has long and extraordinary experience in nature conservation policy, management, monitoring and research involving federal, state and local level. Support of WSWH projects for strategic assessment and management (SIMP) monitoring (OUV assessment in TMAP), joint development of tools for climate change adaptations or alien species management in marine sites. Site provides ideas for education (IWSS), stakeholder and business involvement (support in establishing WSWH Partnership Hub).</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Marine Programme.</w:t>
            </w:r>
          </w:p>
          <w:p w:rsidR="00067847" w:rsidRPr="00D9754E" w:rsidRDefault="00067847" w:rsidP="00C33BAB">
            <w:pPr>
              <w:ind w:left="95"/>
              <w:rPr>
                <w:rFonts w:ascii="Arial" w:hAnsi="Arial" w:cs="Arial"/>
                <w:color w:val="000000"/>
                <w:sz w:val="18"/>
                <w:szCs w:val="18"/>
                <w:lang w:val="en-GB" w:eastAsia="de-DE"/>
              </w:rPr>
            </w:pPr>
            <w:r w:rsidRPr="00D9754E">
              <w:rPr>
                <w:rFonts w:ascii="Arial" w:hAnsi="Arial" w:cs="Arial"/>
                <w:color w:val="000000"/>
                <w:sz w:val="18"/>
                <w:szCs w:val="18"/>
                <w:lang w:val="en-GB" w:eastAsia="de-DE"/>
              </w:rPr>
              <w:t>Exchange on OUV assessment and reporting.</w:t>
            </w:r>
          </w:p>
        </w:tc>
        <w:tc>
          <w:tcPr>
            <w:tcW w:w="1836" w:type="dxa"/>
            <w:tcBorders>
              <w:top w:val="single" w:sz="4" w:space="0" w:color="auto"/>
              <w:left w:val="single" w:sz="4" w:space="0" w:color="auto"/>
              <w:bottom w:val="single" w:sz="4" w:space="0" w:color="auto"/>
              <w:right w:val="single" w:sz="4" w:space="0" w:color="auto"/>
            </w:tcBorders>
          </w:tcPr>
          <w:p w:rsidR="00067847" w:rsidRPr="00D9754E" w:rsidRDefault="00C37D64" w:rsidP="00C91018">
            <w:pPr>
              <w:rPr>
                <w:rFonts w:ascii="Arial" w:hAnsi="Arial" w:cs="Arial"/>
                <w:color w:val="000000"/>
                <w:sz w:val="18"/>
                <w:szCs w:val="18"/>
                <w:lang w:val="en-GB" w:eastAsia="de-DE"/>
              </w:rPr>
            </w:pPr>
            <w:r w:rsidRPr="00C37D64">
              <w:rPr>
                <w:rFonts w:ascii="Arial" w:hAnsi="Arial" w:cs="Arial"/>
                <w:color w:val="000000"/>
                <w:sz w:val="18"/>
                <w:szCs w:val="18"/>
                <w:lang w:val="en-GB" w:eastAsia="de-DE"/>
              </w:rPr>
              <w:t>Information exchange is currently done with the allocated budget and work hours.</w:t>
            </w:r>
          </w:p>
        </w:tc>
      </w:tr>
    </w:tbl>
    <w:p w:rsidR="00D9754E" w:rsidRPr="00D9754E" w:rsidRDefault="00D9754E" w:rsidP="00884A64">
      <w:pPr>
        <w:spacing w:after="120" w:line="276" w:lineRule="auto"/>
        <w:rPr>
          <w:sz w:val="22"/>
          <w:szCs w:val="22"/>
          <w:lang w:val="en-GB"/>
        </w:rPr>
      </w:pPr>
    </w:p>
    <w:p w:rsidR="00D9754E" w:rsidRPr="00D9754E" w:rsidRDefault="00D9754E" w:rsidP="00884A64">
      <w:pPr>
        <w:spacing w:after="120" w:line="276" w:lineRule="auto"/>
        <w:rPr>
          <w:sz w:val="22"/>
          <w:szCs w:val="22"/>
          <w:lang w:val="en-GB"/>
        </w:rPr>
      </w:pPr>
    </w:p>
    <w:sectPr w:rsidR="00D9754E" w:rsidRPr="00D9754E" w:rsidSect="00D9754E">
      <w:pgSz w:w="16840" w:h="11907" w:orient="landscape" w:code="9"/>
      <w:pgMar w:top="1280" w:right="1440" w:bottom="179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066" w:rsidRDefault="00724066">
      <w:r>
        <w:separator/>
      </w:r>
    </w:p>
  </w:endnote>
  <w:endnote w:type="continuationSeparator" w:id="0">
    <w:p w:rsidR="00724066" w:rsidRDefault="0072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782" w:rsidRDefault="00CB778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8238FC">
      <w:rPr>
        <w:noProof/>
        <w:sz w:val="20"/>
        <w:szCs w:val="20"/>
      </w:rPr>
      <w:t>2</w:t>
    </w:r>
    <w:r w:rsidRPr="00884A64">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782" w:rsidRDefault="00CB778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066" w:rsidRDefault="00724066">
      <w:r>
        <w:separator/>
      </w:r>
    </w:p>
  </w:footnote>
  <w:footnote w:type="continuationSeparator" w:id="0">
    <w:p w:rsidR="00724066" w:rsidRDefault="007240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782" w:rsidRDefault="00CB778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884A64" w:rsidRDefault="008E5954" w:rsidP="001C042F">
    <w:pPr>
      <w:pStyle w:val="Kopfzeile"/>
      <w:jc w:val="both"/>
      <w:rPr>
        <w:sz w:val="20"/>
        <w:szCs w:val="20"/>
      </w:rPr>
    </w:pPr>
    <w:r w:rsidRPr="00884A64">
      <w:rPr>
        <w:sz w:val="20"/>
        <w:szCs w:val="20"/>
      </w:rPr>
      <w:t>WSB</w:t>
    </w:r>
    <w:r w:rsidR="001C042F" w:rsidRPr="00884A64">
      <w:rPr>
        <w:sz w:val="20"/>
        <w:szCs w:val="20"/>
      </w:rPr>
      <w:t xml:space="preserve"> </w:t>
    </w:r>
    <w:r w:rsidR="00CB0F49" w:rsidRPr="00884A64">
      <w:rPr>
        <w:sz w:val="20"/>
        <w:szCs w:val="20"/>
      </w:rPr>
      <w:t>2</w:t>
    </w:r>
    <w:r w:rsidR="00067847">
      <w:rPr>
        <w:sz w:val="20"/>
        <w:szCs w:val="20"/>
      </w:rPr>
      <w:t>8</w:t>
    </w:r>
    <w:r w:rsidR="007D5514" w:rsidRPr="00884A64">
      <w:rPr>
        <w:sz w:val="20"/>
        <w:szCs w:val="20"/>
      </w:rPr>
      <w:t>/</w:t>
    </w:r>
    <w:r w:rsidR="00D9754E">
      <w:rPr>
        <w:sz w:val="20"/>
        <w:szCs w:val="20"/>
      </w:rPr>
      <w:t>5.9</w:t>
    </w:r>
    <w:r w:rsidR="007D5514" w:rsidRPr="00884A64">
      <w:rPr>
        <w:sz w:val="20"/>
        <w:szCs w:val="20"/>
      </w:rPr>
      <w:t>/</w:t>
    </w:r>
    <w:r w:rsidR="00CB7782">
      <w:rPr>
        <w:sz w:val="20"/>
        <w:szCs w:val="20"/>
      </w:rPr>
      <w:t>1</w:t>
    </w:r>
    <w:r w:rsidR="00D9754E">
      <w:rPr>
        <w:sz w:val="20"/>
        <w:szCs w:val="20"/>
      </w:rPr>
      <w:t xml:space="preserve"> Cooperation with other WH sites </w:t>
    </w:r>
    <w:r w:rsidR="00067847">
      <w:rPr>
        <w:sz w:val="20"/>
        <w:szCs w:val="20"/>
      </w:rPr>
      <w:t xml:space="preserve">– Revised version </w:t>
    </w:r>
    <w:r w:rsidR="00D9754E">
      <w:rPr>
        <w:sz w:val="20"/>
        <w:szCs w:val="20"/>
      </w:rPr>
      <w:t>(</w:t>
    </w:r>
    <w:r w:rsidR="00CB7782">
      <w:rPr>
        <w:sz w:val="20"/>
        <w:szCs w:val="20"/>
      </w:rPr>
      <w:t>1</w:t>
    </w:r>
    <w:r w:rsidR="008238FC">
      <w:rPr>
        <w:sz w:val="20"/>
        <w:szCs w:val="20"/>
      </w:rPr>
      <w:t>5</w:t>
    </w:r>
    <w:bookmarkStart w:id="0" w:name="_GoBack"/>
    <w:bookmarkEnd w:id="0"/>
    <w:r w:rsidR="00D9754E">
      <w:rPr>
        <w:sz w:val="20"/>
        <w:szCs w:val="20"/>
      </w:rPr>
      <w:t xml:space="preserve"> </w:t>
    </w:r>
    <w:r w:rsidR="00067847">
      <w:rPr>
        <w:sz w:val="20"/>
        <w:szCs w:val="20"/>
      </w:rPr>
      <w:t>February 2019</w:t>
    </w:r>
    <w:r w:rsidR="00D9754E">
      <w:rPr>
        <w:sz w:val="20"/>
        <w:szCs w:val="20"/>
      </w:rPr>
      <w:t>)</w:t>
    </w:r>
    <w:r w:rsidR="000E286C" w:rsidRPr="00884A64">
      <w:rPr>
        <w:sz w:val="20"/>
        <w:szCs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782" w:rsidRDefault="00CB778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2F94"/>
    <w:multiLevelType w:val="hybridMultilevel"/>
    <w:tmpl w:val="F822D016"/>
    <w:lvl w:ilvl="0" w:tplc="2550E29C">
      <w:start w:val="1"/>
      <w:numFmt w:val="decimal"/>
      <w:lvlText w:val="%1."/>
      <w:lvlJc w:val="left"/>
      <w:pPr>
        <w:ind w:left="720" w:hanging="360"/>
      </w:pPr>
      <w:rPr>
        <w:rFonts w:ascii="Arial" w:hAnsi="Arial" w:cs="Arial"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486041"/>
    <w:multiLevelType w:val="hybridMultilevel"/>
    <w:tmpl w:val="F0C435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8">
    <w:nsid w:val="40D01AB7"/>
    <w:multiLevelType w:val="hybridMultilevel"/>
    <w:tmpl w:val="4964F80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491E35D0"/>
    <w:multiLevelType w:val="hybridMultilevel"/>
    <w:tmpl w:val="4964F80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2">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3">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5AA23B2A"/>
    <w:multiLevelType w:val="hybridMultilevel"/>
    <w:tmpl w:val="1882887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E232A14"/>
    <w:multiLevelType w:val="hybridMultilevel"/>
    <w:tmpl w:val="611007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5941083"/>
    <w:multiLevelType w:val="hybridMultilevel"/>
    <w:tmpl w:val="4964F80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4">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3"/>
  </w:num>
  <w:num w:numId="2">
    <w:abstractNumId w:val="13"/>
  </w:num>
  <w:num w:numId="3">
    <w:abstractNumId w:val="13"/>
  </w:num>
  <w:num w:numId="4">
    <w:abstractNumId w:val="6"/>
  </w:num>
  <w:num w:numId="5">
    <w:abstractNumId w:val="20"/>
  </w:num>
  <w:num w:numId="6">
    <w:abstractNumId w:val="1"/>
  </w:num>
  <w:num w:numId="7">
    <w:abstractNumId w:val="18"/>
  </w:num>
  <w:num w:numId="8">
    <w:abstractNumId w:val="19"/>
  </w:num>
  <w:num w:numId="9">
    <w:abstractNumId w:val="11"/>
  </w:num>
  <w:num w:numId="10">
    <w:abstractNumId w:val="9"/>
  </w:num>
  <w:num w:numId="11">
    <w:abstractNumId w:val="22"/>
  </w:num>
  <w:num w:numId="12">
    <w:abstractNumId w:val="5"/>
  </w:num>
  <w:num w:numId="13">
    <w:abstractNumId w:val="24"/>
  </w:num>
  <w:num w:numId="14">
    <w:abstractNumId w:val="2"/>
  </w:num>
  <w:num w:numId="15">
    <w:abstractNumId w:val="16"/>
  </w:num>
  <w:num w:numId="16">
    <w:abstractNumId w:val="23"/>
  </w:num>
  <w:num w:numId="17">
    <w:abstractNumId w:val="4"/>
  </w:num>
  <w:num w:numId="18">
    <w:abstractNumId w:val="12"/>
  </w:num>
  <w:num w:numId="19">
    <w:abstractNumId w:val="17"/>
  </w:num>
  <w:num w:numId="20">
    <w:abstractNumId w:val="7"/>
  </w:num>
  <w:num w:numId="21">
    <w:abstractNumId w:val="14"/>
  </w:num>
  <w:num w:numId="22">
    <w:abstractNumId w:val="3"/>
  </w:num>
  <w:num w:numId="23">
    <w:abstractNumId w:val="15"/>
  </w:num>
  <w:num w:numId="24">
    <w:abstractNumId w:val="21"/>
  </w:num>
  <w:num w:numId="25">
    <w:abstractNumId w:val="0"/>
  </w:num>
  <w:num w:numId="26">
    <w:abstractNumId w:val="8"/>
  </w:num>
  <w:num w:numId="2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üdiger Strempel">
    <w15:presenceInfo w15:providerId="AD" w15:userId="S-1-5-21-1256934877-3455374163-3551772715-1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en-GB" w:vendorID="64" w:dllVersion="6" w:nlCheck="1" w:checkStyle="1"/>
  <w:activeWritingStyle w:appName="MSWord" w:lang="fr-FR" w:vendorID="64" w:dllVersion="6" w:nlCheck="1" w:checkStyle="1"/>
  <w:activeWritingStyle w:appName="MSWord" w:lang="de-DE" w:vendorID="64" w:dllVersion="6" w:nlCheck="1" w:checkStyle="1"/>
  <w:activeWritingStyle w:appName="MSWord" w:lang="en-US" w:vendorID="64" w:dllVersion="6" w:nlCheck="1" w:checkStyle="1"/>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67847"/>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93121"/>
    <w:rsid w:val="001A0D8A"/>
    <w:rsid w:val="001B785E"/>
    <w:rsid w:val="001C042F"/>
    <w:rsid w:val="002054A8"/>
    <w:rsid w:val="002108D8"/>
    <w:rsid w:val="00212819"/>
    <w:rsid w:val="002160AA"/>
    <w:rsid w:val="00227E91"/>
    <w:rsid w:val="00241433"/>
    <w:rsid w:val="00242A26"/>
    <w:rsid w:val="00252FED"/>
    <w:rsid w:val="00254860"/>
    <w:rsid w:val="00256C4C"/>
    <w:rsid w:val="00257670"/>
    <w:rsid w:val="002A6524"/>
    <w:rsid w:val="002C3B3E"/>
    <w:rsid w:val="002D7C58"/>
    <w:rsid w:val="002D7DF5"/>
    <w:rsid w:val="003148C6"/>
    <w:rsid w:val="0032417C"/>
    <w:rsid w:val="00333535"/>
    <w:rsid w:val="00336615"/>
    <w:rsid w:val="00340678"/>
    <w:rsid w:val="00342BBA"/>
    <w:rsid w:val="0035006B"/>
    <w:rsid w:val="00357EE8"/>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51CFF"/>
    <w:rsid w:val="004634D9"/>
    <w:rsid w:val="00464803"/>
    <w:rsid w:val="0047073F"/>
    <w:rsid w:val="00473646"/>
    <w:rsid w:val="0048039B"/>
    <w:rsid w:val="004811CF"/>
    <w:rsid w:val="0049559C"/>
    <w:rsid w:val="004B18F8"/>
    <w:rsid w:val="004F7255"/>
    <w:rsid w:val="0052327A"/>
    <w:rsid w:val="00523334"/>
    <w:rsid w:val="005507A2"/>
    <w:rsid w:val="0055335E"/>
    <w:rsid w:val="00553CBE"/>
    <w:rsid w:val="00566883"/>
    <w:rsid w:val="00576FC0"/>
    <w:rsid w:val="00581410"/>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4F24"/>
    <w:rsid w:val="00697EC8"/>
    <w:rsid w:val="006A0819"/>
    <w:rsid w:val="006B0DAC"/>
    <w:rsid w:val="006B1F5B"/>
    <w:rsid w:val="006C6D65"/>
    <w:rsid w:val="006D0998"/>
    <w:rsid w:val="006D1CAE"/>
    <w:rsid w:val="006D4D17"/>
    <w:rsid w:val="006D503E"/>
    <w:rsid w:val="006F57CB"/>
    <w:rsid w:val="007019FC"/>
    <w:rsid w:val="00704B5F"/>
    <w:rsid w:val="00705336"/>
    <w:rsid w:val="00724066"/>
    <w:rsid w:val="007240E0"/>
    <w:rsid w:val="00724801"/>
    <w:rsid w:val="0072516E"/>
    <w:rsid w:val="00754D75"/>
    <w:rsid w:val="007563CD"/>
    <w:rsid w:val="00761403"/>
    <w:rsid w:val="0078654F"/>
    <w:rsid w:val="007976A5"/>
    <w:rsid w:val="007A0319"/>
    <w:rsid w:val="007B729F"/>
    <w:rsid w:val="007B73FA"/>
    <w:rsid w:val="007C501F"/>
    <w:rsid w:val="007C7BD3"/>
    <w:rsid w:val="007D5514"/>
    <w:rsid w:val="007E2E72"/>
    <w:rsid w:val="007F36A1"/>
    <w:rsid w:val="008220BC"/>
    <w:rsid w:val="008236A8"/>
    <w:rsid w:val="008238FC"/>
    <w:rsid w:val="00824914"/>
    <w:rsid w:val="00840BD4"/>
    <w:rsid w:val="00853159"/>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5EF4"/>
    <w:rsid w:val="00931993"/>
    <w:rsid w:val="0094113A"/>
    <w:rsid w:val="00950873"/>
    <w:rsid w:val="009517FA"/>
    <w:rsid w:val="00962716"/>
    <w:rsid w:val="00965C3E"/>
    <w:rsid w:val="009719CA"/>
    <w:rsid w:val="00973022"/>
    <w:rsid w:val="00975C6B"/>
    <w:rsid w:val="00982C8B"/>
    <w:rsid w:val="009A2079"/>
    <w:rsid w:val="009B54B3"/>
    <w:rsid w:val="009B57B9"/>
    <w:rsid w:val="009D01E2"/>
    <w:rsid w:val="009D105B"/>
    <w:rsid w:val="009D6A3D"/>
    <w:rsid w:val="009E6684"/>
    <w:rsid w:val="009E7C2C"/>
    <w:rsid w:val="009F331C"/>
    <w:rsid w:val="009F48C9"/>
    <w:rsid w:val="00A1036A"/>
    <w:rsid w:val="00A12765"/>
    <w:rsid w:val="00A13D27"/>
    <w:rsid w:val="00A20BC6"/>
    <w:rsid w:val="00A47D81"/>
    <w:rsid w:val="00A55A4E"/>
    <w:rsid w:val="00A80F47"/>
    <w:rsid w:val="00A8235D"/>
    <w:rsid w:val="00A86C28"/>
    <w:rsid w:val="00A875C8"/>
    <w:rsid w:val="00A915FB"/>
    <w:rsid w:val="00AC2926"/>
    <w:rsid w:val="00AC7A06"/>
    <w:rsid w:val="00AE651C"/>
    <w:rsid w:val="00AF263A"/>
    <w:rsid w:val="00B07A4C"/>
    <w:rsid w:val="00B1013D"/>
    <w:rsid w:val="00B1024D"/>
    <w:rsid w:val="00B15106"/>
    <w:rsid w:val="00B44910"/>
    <w:rsid w:val="00B45E4C"/>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30FD0"/>
    <w:rsid w:val="00C37D64"/>
    <w:rsid w:val="00C6067C"/>
    <w:rsid w:val="00C62F33"/>
    <w:rsid w:val="00C81A36"/>
    <w:rsid w:val="00C91018"/>
    <w:rsid w:val="00C914D0"/>
    <w:rsid w:val="00C917B4"/>
    <w:rsid w:val="00C92F48"/>
    <w:rsid w:val="00C94373"/>
    <w:rsid w:val="00C9446B"/>
    <w:rsid w:val="00C94E92"/>
    <w:rsid w:val="00C96C7B"/>
    <w:rsid w:val="00CA3FEC"/>
    <w:rsid w:val="00CA4F12"/>
    <w:rsid w:val="00CB0F49"/>
    <w:rsid w:val="00CB7782"/>
    <w:rsid w:val="00CD0E99"/>
    <w:rsid w:val="00CE4943"/>
    <w:rsid w:val="00D02CC2"/>
    <w:rsid w:val="00D045F6"/>
    <w:rsid w:val="00D04A2E"/>
    <w:rsid w:val="00D06D60"/>
    <w:rsid w:val="00D10487"/>
    <w:rsid w:val="00D37A59"/>
    <w:rsid w:val="00D541BC"/>
    <w:rsid w:val="00D714D5"/>
    <w:rsid w:val="00D71C4A"/>
    <w:rsid w:val="00D77486"/>
    <w:rsid w:val="00D82250"/>
    <w:rsid w:val="00D90053"/>
    <w:rsid w:val="00D9754E"/>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0D9B"/>
    <w:rsid w:val="00EF1778"/>
    <w:rsid w:val="00EF2B84"/>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ListenabsatzZchn">
    <w:name w:val="Listenabsatz Zchn"/>
    <w:link w:val="Listenabsatz"/>
    <w:uiPriority w:val="34"/>
    <w:rsid w:val="00D9754E"/>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ListenabsatzZchn">
    <w:name w:val="Listenabsatz Zchn"/>
    <w:link w:val="Listenabsatz"/>
    <w:uiPriority w:val="34"/>
    <w:rsid w:val="00D9754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77576">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worldheritageoutlook.iucn.org/search-sites/-/wdpaid/en/478642?p_p_auth=rVuYfC0y"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www.worldheritageoutlook.iucn.org/explore-sites/wdpaid/903141"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worldheritageoutlook.iucn.org/search-sites/-/wdpaid/en/902489?p_p_auth=Y8UWw7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ddensea-secretariat.org/sites/default/files/Meeting_Documents/WSB/WSB22/wsb_22-5-9-2-dolomites_inventory_workplan.pdf"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worldheritageoutlook.iucn.org/search-sites/-/wdpaid/en/2571?p_p_auth=UoU0lsag" TargetMode="External"/><Relationship Id="rId10" Type="http://schemas.openxmlformats.org/officeDocument/2006/relationships/hyperlink" Target="http://www.waddensea-secretariat.org/sites/default/files/Meeting_Documents/WSB/WSB21/wsb_21-5.9-3_cooperation_dolomites.pdf" TargetMode="External"/><Relationship Id="rId19" Type="http://schemas.openxmlformats.org/officeDocument/2006/relationships/hyperlink" Target="http://www.worldheritageoutlook.iucn.org/search-sites/-/wdpaid/en/900632?p_p_auth=rdY6In5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worldheritageoutlook.iucn.org/search-sites/-/wdpaid/en/478641?p_p_auth=rVuYfC0y"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DEAFD8-341F-4CAB-A682-B6D60C149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1769</Words>
  <Characters>10888</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Harald Marencic</cp:lastModifiedBy>
  <cp:revision>11</cp:revision>
  <cp:lastPrinted>2018-10-22T16:03:00Z</cp:lastPrinted>
  <dcterms:created xsi:type="dcterms:W3CDTF">2018-10-23T07:06:00Z</dcterms:created>
  <dcterms:modified xsi:type="dcterms:W3CDTF">2019-02-15T10:01:00Z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